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9e5ac57c3452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18400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PROMETNO-TEHNIČKA ŠKOLA ŠIBENIK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1.528.553,15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1.640.737,27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1.503.620,07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1.721.199,96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80.462,69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2.221,60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24.143,16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45.759,86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21.921,56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45.759,86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126.222,55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Prihodi poslovanja  su za 7,3 % posto veći od prihoda u istom razdoblju prošle godine zbog povećanja plaća. Ukupni rashodi poslovanja su za 14,5 % veći od rashoda u istom razdoblju prošle godine, a najveća razlika se odnosi na trošak plaće i materijalnih prava za 12. mjesec 2025 .g. koji se knjiže u izvještajnom razdoblju te zbog toga nastaje metodološki manjak. </w:t>
      </w:r>
    </w:p>
    <w:p>
      <w:r>
        <w:t xml:space="preserve">Manjak prihoda od nefinancijske imovine odnosi se na nabavu osnovnih sredstava.</w:t>
      </w:r>
    </w:p>
    <w:p>
      <w:r>
        <w:t xml:space="preserve">Manjak prihoda poslovanja u iznosu od 126.222,55 eura je metodološki manjak jer se odnosi na plaću za prosinac 2025.., koja dospijeva u siječnju 2026.g., te račune za prosinac koji nisu dospjeli. Metodološki manjak nastaje zbog priznavanja rashoda prema načelu nastanka poslovnog događaja u izvještajnom razdoblju na koje se odnosi, neovisno o plaćanju, a prihodi se priznaju u izvještajnom razdoblju u kojem su naplaćeni. </w:t>
      </w:r>
    </w:p>
    <w:p>
      <w:r>
        <w:t xml:space="preserve">Ukidanjem kontinuiranih rashoda u 2025. godini došlo je do većeg odstupanja viška/manjka u odnosu na prošlu godinu, gdje nam je višak prihoda odgovarao stanju na kontu 16721 (namjenska  i vlastita sredstva) u prošloj godini.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11.806,17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905,79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7,7</w:t>
            </w:r>
          </w:p>
        </w:tc>
      </w:tr>
    </w:tbl>
    <w:p>
      <w:pPr>
        <w:spacing w:before="0" w:after="0"/>
      </w:pPr>
    </w:p>
    <w:p>
      <w:r>
        <w:t xml:space="preserve">Veliko odstupanje u odnosu na izvještajno razdoblje prošle godine se odnosi na manji prihod što se tiče udžbenika i lektirnih naslova.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36.815,81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13.496,16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36,7</w:t>
            </w:r>
          </w:p>
        </w:tc>
      </w:tr>
    </w:tbl>
    <w:p>
      <w:pPr>
        <w:spacing w:before="0" w:after="0"/>
      </w:pPr>
    </w:p>
    <w:p>
      <w:r>
        <w:t xml:space="preserve">Veliko odstupanje u odnosu na izvještajno razdoblje prošle godine vidljivo je pod 661, škola od 2024.g. nema prihode od autoškole.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32.668,81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5.375,16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16,5</w:t>
            </w:r>
          </w:p>
        </w:tc>
      </w:tr>
    </w:tbl>
    <w:p>
      <w:pPr>
        <w:spacing w:before="0" w:after="0"/>
      </w:pPr>
    </w:p>
    <w:p>
      <w:r>
        <w:t xml:space="preserve">Prihodi od pruženih usluga u izvještajnom razdoblju iznose 5.375,16 eura odnose se na prihode od periodičke izobrazbe vozača motornih vozila-kod 95, dok su u izvještajnom razdoblju prethodne godine iznosili 32.668,81 eura, razlog drastičnog smanjena je zbog zatvaranja autoškole u 2024.g.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32.668,81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5.375,16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16,5</w:t>
            </w:r>
          </w:p>
        </w:tc>
      </w:tr>
    </w:tbl>
    <w:p>
      <w:pPr>
        <w:spacing w:before="0" w:after="0"/>
      </w:pPr>
    </w:p>
    <w:p>
      <w:r>
        <w:t xml:space="preserve">Objašnjenje se nalazi pod šifrom 661.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4.147,00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8.121,00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195,8</w:t>
            </w:r>
          </w:p>
        </w:tc>
      </w:tr>
    </w:tbl>
    <w:p>
      <w:pPr>
        <w:spacing w:before="0" w:after="0"/>
      </w:pPr>
    </w:p>
    <w:p>
      <w:r>
        <w:t xml:space="preserve">Prihodi od donacija u izvještajnom razdoblju iznose 8.121,00 eura, dok u izvještajnom razdoblju prethodne godine 4.147,00 eura, razlog većeg odstupanja je u dobivenim donacijama za organiziranje maturalnog plesa, donacija za dnevnice za maturalno putovanje te sudjelovanje učenika u projektu Dron liga.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4.147,00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8.121,00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195,8</w:t>
            </w:r>
          </w:p>
        </w:tc>
      </w:tr>
    </w:tbl>
    <w:p>
      <w:pPr>
        <w:spacing w:before="0" w:after="0"/>
      </w:pPr>
    </w:p>
    <w:p>
      <w:r>
        <w:t xml:space="preserve">Objašnjenje se nalazi pod šifrom 663.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136.853,24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145.602,48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106,4</w:t>
            </w:r>
          </w:p>
        </w:tc>
      </w:tr>
    </w:tbl>
    <w:p>
      <w:pPr>
        <w:spacing w:before="0" w:after="0"/>
      </w:pPr>
    </w:p>
    <w:p>
      <w:r>
        <w:t xml:space="preserve">Konto 671 se odnosi na uplatu sredstava od nadležnog proračuna ŠKŽ  za decentralizaciju, kapitalna ulaganja kao i za plaće i materijalna prava pomoćnika u nastavi, a u odnosu na prethodno razdoblje povećanje je od 6,4 %.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1.120.308,10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1.294.233,01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115,5</w:t>
            </w:r>
          </w:p>
        </w:tc>
      </w:tr>
    </w:tbl>
    <w:p>
      <w:pPr>
        <w:spacing w:before="0" w:after="0"/>
      </w:pPr>
    </w:p>
    <w:p>
      <w:r>
        <w:t xml:space="preserve">U izvještajnom razdoblju rashodi za plaće i materijalna prava djelatnika veći su za 15,5% u odnosu na prethodno razdoblje. Razlog povećanja se odnosi na povećanje osnovice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1.120.308,10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1.294.233,01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115,5</w:t>
            </w:r>
          </w:p>
        </w:tc>
      </w:tr>
    </w:tbl>
    <w:p>
      <w:pPr>
        <w:spacing w:before="0" w:after="0"/>
      </w:pPr>
    </w:p>
    <w:p>
      <w:r>
        <w:t xml:space="preserve">Plaće za redovan rad u izvještajnom razdoblju tekuće godine iznose 1.294.233,01 eura, dok u izvještajnom razdoblju prethodne godine 1.120.308,10 eura, razlog većeg odstupanja je u porastu osnovice za plaću, te ukidanje podskupine 193 kontinuirani rashodi.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7.618,68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11.352,33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149,0</w:t>
            </w:r>
          </w:p>
        </w:tc>
      </w:tr>
    </w:tbl>
    <w:p>
      <w:pPr>
        <w:spacing w:before="0" w:after="0"/>
      </w:pPr>
    </w:p>
    <w:p>
      <w:r>
        <w:t xml:space="preserve">Rashodi za službena putovanja u 2025. godine iznose 11.352,33 eura, odnosno za 49 % više u odnosu na rashode za službena putovanja u 2024. godini. Povećani su izdaci za edukaciju djelatnika, sudjelovanje na natjecanjima s učenicima.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2.014,98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296,8</w:t>
            </w:r>
          </w:p>
        </w:tc>
      </w:tr>
    </w:tbl>
    <w:p>
      <w:pPr>
        <w:spacing w:before="0" w:after="0"/>
      </w:pPr>
    </w:p>
    <w:p>
      <w:r>
        <w:t xml:space="preserve">Rashodi za stručno usavršavanje zaposlenika tekuće godine iznose 2.014,98 eura, dok u izvještajnom razdoblju prethodne godine 679,00 eura, razlog većeg odstupanja su obvezna edukacija za ISO kontrolu, stručni ispit za zaštitu na radu, više kotizacija za seminare i usluge savjetovanja.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2.014,31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2.442,93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121,3</w:t>
            </w:r>
          </w:p>
        </w:tc>
      </w:tr>
    </w:tbl>
    <w:p>
      <w:pPr>
        <w:spacing w:before="0" w:after="0"/>
      </w:pPr>
    </w:p>
    <w:p>
      <w:r>
        <w:t xml:space="preserve">Materijal za tekuće i investicijsko održavanje u izvještajnom razdoblju prethodne godine iznosi 2.014,31 eura, dok u izvještajnom razdoblju ove godine 2.442,93 eura, razlog većeg odstupanja je u nabavi potrošnog materijala, utičnica, prekidača, brava, kvaka, cilindra.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4.255,16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1.238,56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29,1</w:t>
            </w:r>
          </w:p>
        </w:tc>
      </w:tr>
    </w:tbl>
    <w:p>
      <w:pPr>
        <w:spacing w:before="0" w:after="0"/>
      </w:pPr>
    </w:p>
    <w:p>
      <w:r>
        <w:t xml:space="preserve">U izvještajnom razdoblju tekuće godine ostvareno je 29,1% rashoda u odnosu na izvještajno razdoblje prethodne godine kada je nabavljeno više uredske opreme, pomorske karte i oprema za tjelesnu i zdravstvenu kulturu.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1.240,81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411,87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33,2</w:t>
            </w:r>
          </w:p>
        </w:tc>
      </w:tr>
    </w:tbl>
    <w:p>
      <w:pPr>
        <w:spacing w:before="0" w:after="0"/>
      </w:pPr>
    </w:p>
    <w:p>
      <w:r>
        <w:t xml:space="preserve">U izvještajnom razdoblju tekuće godine znatno manje se rashodovalo po pitanju službene odjeće i obuće u odnosu na izvještajno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4.045,31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7.018,27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173,5</w:t>
            </w:r>
          </w:p>
        </w:tc>
      </w:tr>
    </w:tbl>
    <w:p>
      <w:pPr>
        <w:spacing w:before="0" w:after="0"/>
      </w:pPr>
    </w:p>
    <w:p>
      <w:r>
        <w:t xml:space="preserve">U izvještajnom razdoblju tekuće godine rashodi za usluge telefona, interneta iznose 7.018,27 eura, dok u izvještajnom razdoblju prethodne godine 4.045,31 eura, razlog većeg odstupanja od 73,5% je u obnovi telefonskih linija i povećanih usluga poštarine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3.371,13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49,8</w:t>
            </w:r>
          </w:p>
        </w:tc>
      </w:tr>
    </w:tbl>
    <w:p>
      <w:pPr>
        <w:spacing w:before="0" w:after="0"/>
      </w:pPr>
    </w:p>
    <w:p>
      <w:r>
        <w:t xml:space="preserve">Ostvareni indeks ukazuje da u izvještajnom razdoblju tekuće godine je manji broj djelatnika prema TKU imao pravo na sistematske preglede.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1.791,63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529,40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29,5</w:t>
            </w:r>
          </w:p>
        </w:tc>
      </w:tr>
    </w:tbl>
    <w:p>
      <w:pPr>
        <w:spacing w:before="0" w:after="0"/>
      </w:pPr>
    </w:p>
    <w:p>
      <w:r>
        <w:t xml:space="preserve">U izvještajnom razdoblju prethodne godine ostvaren je rashod veći za 70,5% u odnosu na izvještajno razdoblje tekuće godine iz razloga što smo odjavili registraciju osobnog vozila škole te smanjenje grafičkih i tiskarskih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3833,3</w:t>
            </w:r>
          </w:p>
        </w:tc>
      </w:tr>
    </w:tbl>
    <w:p>
      <w:pPr>
        <w:spacing w:before="0" w:after="0"/>
      </w:pPr>
    </w:p>
    <w:p>
      <w:r>
        <w:t xml:space="preserve">Razlog znatnog odstupanja u izvještajnom razdoblju tekuće godine u odnosu na izvještajno razdoblje prethodne godine je zbog troškova obuke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1.969,75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168,0</w:t>
            </w:r>
          </w:p>
        </w:tc>
      </w:tr>
    </w:tbl>
    <w:p>
      <w:pPr>
        <w:spacing w:before="0" w:after="0"/>
      </w:pPr>
    </w:p>
    <w:p>
      <w:r>
        <w:t xml:space="preserve">Troškovi reprezentacije u izvještajnom razdoblju tekuće godine iznose 1.969,75 eura, dok u izvještajnom razdoblju prethodne godine 1.172,17 eura, razlog većeg odstupanja su organiziranje edukacija, radionica u prostorijama škole i međužupanijskog stručnog skupa cestovnog prometa i vožnje motornog vozila.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20.030,60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22.693,98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113,3</w:t>
            </w:r>
          </w:p>
        </w:tc>
      </w:tr>
    </w:tbl>
    <w:p>
      <w:pPr>
        <w:spacing w:before="0" w:after="0"/>
      </w:pPr>
    </w:p>
    <w:p>
      <w:r>
        <w:t xml:space="preserve">Višak prihoda i primitaka preneseni iznosi 22.693,98 eura. Korekcija rezultata poslovanja izvršena je zbog povrata vlastitih sredstava kandidatu auto-škole zbog raskida ugovora o osposobljavanju za vozača B kategorije. Također izvršena je korekcija uvećanja rezultata poslovanja zbog ispravka isplate drugog dohotka. Rezultat poslovanja umanjen je i za iznos od 264,42 eura, zbog povrata sredstava u državni proračun za nabavu udžbenika. Rezultat poslovanja uvećan je i zbog refundacije za nabavu udžbenika za učenike iz Ukrajine u iznosu od 115,21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121.608,75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Unutar skupine 96 Obračunati prihodi poslovanja prema novom Pravilniku o proračunskom računovodstvu i Računskom planu u 2025.g. nova je shema knjiženja na 9636. Odnosi se na plaću za 12.mjesec, isplatu drugog dohotka, materijalna prava i račune koji dospijevaju u siječnju 2026.g.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24.143,16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45.759,86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189,5</w:t>
            </w:r>
          </w:p>
        </w:tc>
      </w:tr>
    </w:tbl>
    <w:p>
      <w:pPr>
        <w:spacing w:before="0" w:after="0"/>
      </w:pPr>
    </w:p>
    <w:p>
      <w:r>
        <w:t xml:space="preserve">U izvještajnom razdoblju tekuće godine rashodi za nabavu proizvedene dugotrajne imovine iznose 45.789,86 eura što je za 89,5% više u odnosu na izvještajno razdoblje prethodne godine kada su rashodi iznosili 24.143,16 eura. Razlog odstupanja je na 4262 ulaganja u računalne programe, tj. proširenje postojećeg navigacijskog simulatora sredstvima iz državnog proračuna.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126.222,55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od 126.222,55 je metodološki manjak, koji će se pokriti u sljedećem razdoblju, a kojeg smo objasnili u obveznim bilješkama. Pravilnikom o proračunskom računovodstvu i Računskom planu propisano je da se prihodi evidentiraju u izvještajnom razdoblju u kojem su nastali, što znači da ne možemo prihode naplaćene u siječnju 2026.g. iskazivati kao prihod 2025.g., i zbog toga dolazi do manjka prihoda. Od 1. siječnja 2025.g. prihodi se priznaju prema modificiranom načelu nastanka događaja, u trenutku kada su naplaćeni.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103.528,57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i primitaka od 103.528,57 eura, umanjen za naš višak prihoda 22.693,98 eura , odgovara manjku prihoda i primitaka za pokriće u sljedećem razdoblju 126.222,55 eura. Taj manjak prihoda je metodološki manjak, koji će se knjiženjem računa, plaće, drugog dohotka i materijalnih prava za 12. mjesec, u sljedećem razdoblju tj. 01. mjesecu 2026., pokriti.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JLP(R)S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1.377,72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165,0</w:t>
            </w:r>
          </w:p>
        </w:tc>
      </w:tr>
    </w:tbl>
    <w:p>
      <w:pPr>
        <w:spacing w:before="0" w:after="0"/>
      </w:pPr>
    </w:p>
    <w:p>
      <w:r>
        <w:t xml:space="preserve">U izvještajnom razdoblju tekuće godine iznos od 1.377,72 odnosi se na donacije od gradova i općina za maturalni ples te je za 65% veći od prihoda u izvještajnom razdoblju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bolest, invalidnost i smrtni slučaj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2.648,64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600</w:t>
            </w:r>
          </w:p>
        </w:tc>
      </w:tr>
    </w:tbl>
    <w:p>
      <w:pPr>
        <w:spacing w:before="0" w:after="0"/>
      </w:pPr>
    </w:p>
    <w:p>
      <w:r>
        <w:t xml:space="preserve">Povećanje od 600% se odnosi na veći broj djelatnika koji su ostvarili pravo na navedenu naknadu u izvještajnom razdoblju u odnosu na prethodno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Obvezni i preventivni zdravstveni pregledi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3.066,13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54,8</w:t>
            </w:r>
          </w:p>
        </w:tc>
      </w:tr>
    </w:tbl>
    <w:p>
      <w:pPr>
        <w:spacing w:before="0" w:after="0"/>
      </w:pPr>
    </w:p>
    <w:p>
      <w:r>
        <w:t xml:space="preserve">Ostvareni indeks ukazuje da u izvještajnom razdoblju tekuće godine je manji broj djelatnika prema TKU imao pravo na sistematske preglede.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339.316,25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402.141,62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118,5</w:t>
            </w:r>
          </w:p>
        </w:tc>
      </w:tr>
    </w:tbl>
    <w:p>
      <w:pPr>
        <w:spacing w:before="0" w:after="0"/>
      </w:pPr>
    </w:p>
    <w:p>
      <w:r>
        <w:t xml:space="preserve">Imovina iznosi 402.141,62 eura što odgovara B003 - obveze i vlastiti izvori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0221 do 0228 - 02922)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33.261,49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67.790,41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203,8</w:t>
            </w:r>
          </w:p>
        </w:tc>
      </w:tr>
    </w:tbl>
    <w:p>
      <w:pPr>
        <w:spacing w:before="0" w:after="0"/>
      </w:pPr>
    </w:p>
    <w:p>
      <w:r>
        <w:t xml:space="preserve">Razlog povećanja je Carnetova oprema koja je prenesena u naše vlasništvo, kao i nabava računalne i uredske opreme putem kapitalnih ulaganja.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Komunikacijska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1.484,84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250,6</w:t>
            </w:r>
          </w:p>
        </w:tc>
      </w:tr>
    </w:tbl>
    <w:p>
      <w:pPr>
        <w:spacing w:before="0" w:after="0"/>
      </w:pPr>
    </w:p>
    <w:p>
      <w:r>
        <w:t xml:space="preserve">U izvještajnom razdoblju tekuće godine komunikacijska oprema iznosi 1.484,84 eura, dok u izvještajnom razdoblju prethodne godine 592,40 eura, razlog većeg odstupanja je u nabavi Iphone uređaja.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 i 02926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Nematerijalna proizvedena imovina (šifre 0261 do 0264 - 02926)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 i 02926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7.935,16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37.877,47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477,3</w:t>
            </w:r>
          </w:p>
        </w:tc>
      </w:tr>
    </w:tbl>
    <w:p>
      <w:pPr>
        <w:spacing w:before="0" w:after="0"/>
      </w:pPr>
    </w:p>
    <w:p>
      <w:r>
        <w:t xml:space="preserve">Razlog odstupanja je zbog nabave računalnih programa iz sredstava državnog proračuna, odnosno proširenje postojećeg navigacijskog simulatora.</w:t>
      </w:r>
      <w:r>
        <w:br/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Ulaganja u računalne programe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38.382,80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71.372,80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185,9</w:t>
            </w:r>
          </w:p>
        </w:tc>
      </w:tr>
    </w:tbl>
    <w:p>
      <w:pPr>
        <w:spacing w:before="0" w:after="0"/>
      </w:pPr>
    </w:p>
    <w:p>
      <w:r>
        <w:t xml:space="preserve">U izvještajnom razdoblju tekuće godine ulaganja u računalne programe iznosi 71.372,80 eura što je za 85,9% više u odnosu na izvještajno razdoblje prethodne godine kada su rashodi iznosili 38.382,80 eura. Razlog odstupanja je proširenje postojećeg navigacijskog simulatora.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više plaćene poreze i doprinose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341,3</w:t>
            </w:r>
          </w:p>
        </w:tc>
      </w:tr>
    </w:tbl>
    <w:p>
      <w:pPr>
        <w:spacing w:before="0" w:after="0"/>
      </w:pPr>
    </w:p>
    <w:p>
      <w:r>
        <w:t xml:space="preserve">Navedeno odstupanje na dan 31. prosinca odnosi se na isplatu povrata poreza djelatnici kroz plaću za 11. mjesec koja je dospjela u 12.mjesecu.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22.945,84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145.312,40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633,3</w:t>
            </w:r>
          </w:p>
        </w:tc>
      </w:tr>
    </w:tbl>
    <w:p>
      <w:pPr>
        <w:spacing w:before="0" w:after="0"/>
      </w:pPr>
    </w:p>
    <w:p>
      <w:r>
        <w:t xml:space="preserve">Potraživanja za prihode poslovanja za proteklo razdoblje se odnosi samo na vlastita i namjenska sredstva ostvarena u 2024.g., koja iznose 22.945,84 eura. U 2025 .g. imamo novo knjiženje po novom Pravilniku o proračunskom računovodstvu i Računskom planu. Podatci o prihodima prate se po obračunskoj osnovi evidentiranjem potraživanja i obračunatih prihoda preko podskupina 16/96. Šifra 16 se odnosi na vlastita i namjenska sredstva,kao i na plaće, drugi dohodak, materijalna prava za 12. mjesec 2025.g. knjiženo u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121.368,86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Objašnjenje šifre 163 sadržano je u bilješci 16, iznos od 121.368,86 eura odnosi se na plaću, drugi dohodak i materijalna prava za prosinac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121.368,86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tekuće godine stanje u iznosu od 121.368,86 eura odnosi se na plaće, drugi dohodak i materijalna prava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22.705,95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23.703,65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104,4</w:t>
            </w:r>
          </w:p>
        </w:tc>
      </w:tr>
    </w:tbl>
    <w:p>
      <w:pPr>
        <w:spacing w:before="0" w:after="0"/>
      </w:pPr>
    </w:p>
    <w:p>
      <w:r>
        <w:t xml:space="preserve">Potraživanja za prihode iz proračuna u iznosu od 23.703,65 eura odnosi se na prihode uplaćene na jedinstveni račun riznice Šibensko-kninske županije, a koji su na dan 31.12.2025. godine ostali neutrošeni na žiro-računu proračuna Šibensko-kninske županije. Odnosi se na vlastite prihode-7.595,20 eura, namjenske prihode (učenička sredstva)-8.972,47 eura, pomoći E- 859,24 eura, donacije (maturalni ples)-1.600,00 eura, pomoći iz državnog proračuna-4.676,74 eura koji se odnose na neutrošena sredstva za nabavu psihodijagnostičkih sredstava i udžbenika.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113.085,42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Kontinuirani rashodi budućih poslovanja su ukinuti u 2025.g. te je stanje na 31.12.2025.g. 0,00.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3.684,71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6.351,31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172,4</w:t>
            </w:r>
          </w:p>
        </w:tc>
      </w:tr>
    </w:tbl>
    <w:p>
      <w:pPr>
        <w:spacing w:before="0" w:after="0"/>
      </w:pPr>
    </w:p>
    <w:p>
      <w:r>
        <w:t xml:space="preserve">Povećanje obveza za materijalne rashode na 31.12. za 72,4% odnosi se na obveze za 12.mjesec 2025. koje terete 2025.g., a koje dospijevaju u 01.mjesecu 2026., a to su naknade troškova za prijevoz djelatnika, računi, ugovor o djelu, novčana naknada zbog nezapošljavanja osoba s invaliditetom.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4.679,77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5.244,58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112,1</w:t>
            </w:r>
          </w:p>
        </w:tc>
      </w:tr>
    </w:tbl>
    <w:p>
      <w:pPr>
        <w:spacing w:before="0" w:after="0"/>
      </w:pPr>
    </w:p>
    <w:p>
      <w:r>
        <w:t xml:space="preserve">Prema novom Pravilniku početno stanje skupine 27 čine konta 23958001-obveze za naknade bolovanja državni proračun, 23958002-obveze za naknade bolovanja ŠKŽ (pomoćnici u nastavi) i 23951001 obveze za predujmove.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23.042,12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-103.528,57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-449,3</w:t>
            </w:r>
          </w:p>
        </w:tc>
      </w:tr>
    </w:tbl>
    <w:p>
      <w:pPr>
        <w:spacing w:before="0" w:after="0"/>
      </w:pPr>
    </w:p>
    <w:p>
      <w:r>
        <w:t xml:space="preserve">Iskazani manjak je metodološki manjak zbog novog načina knjiženja, te će se pokriti u sljedećem razdoblju.  Od 1. siječnja 2025.g. prihodi se priznaju prema modificiranom načelu nastanka događaja, što znači da se priznaju kad su naplaćeni, i zbog toga dolazi do rezultata-manjak. Škola ima evidentiranih 13 rashoda plaća, a 12 prihoda iz Državnog proračuna, te se manjak odnosi na plaću za 12. mjesec.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92221 do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10.115,39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103.528,57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1023,5</w:t>
            </w:r>
          </w:p>
        </w:tc>
      </w:tr>
    </w:tbl>
    <w:p>
      <w:pPr>
        <w:spacing w:before="0" w:after="0"/>
      </w:pPr>
    </w:p>
    <w:p>
      <w:r>
        <w:t xml:space="preserve">Razlog odstupanja je objašnjen pod šifrom 922.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121.608,75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Navedena šifra je novo knjiženje prema novom Pravilniku o računovodstvu, svaki prihod koji se priznaje mora prethodno imati evidentirano potraživanje i obračunate prihode na 96.  Stanje na dan 31.12. 2025. u iznosu od 121.368,86 eura je zbog toga što se plaća, drugi dohodak i materijalna prava knjiže kao prihod u 01.mjesecu 2026.g.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Obračunate pomoći iz inozemstva i od subjekata unutar općeg proračuna (šifre 9631 do 9638)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121.368,86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Objašnjenje pod šifrom 96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44.473,33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740,76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1,7</w:t>
            </w:r>
          </w:p>
        </w:tc>
      </w:tr>
    </w:tbl>
    <w:p>
      <w:pPr>
        <w:spacing w:before="0" w:after="0"/>
      </w:pPr>
    </w:p>
    <w:p>
      <w:r>
        <w:t xml:space="preserve">Razlog odstupanja na dan 31. prosinca 2025.g. je zbog prijenosa vlasništva računalne opreme iz projekta Carneta Podrška provedbi Cjelovite kurikularne reforme faza II.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pasiva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44.473,33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740,76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1,7</w:t>
            </w:r>
          </w:p>
        </w:tc>
      </w:tr>
    </w:tbl>
    <w:p>
      <w:pPr>
        <w:spacing w:before="0" w:after="0"/>
      </w:pPr>
    </w:p>
    <w:p>
      <w:r>
        <w:t xml:space="preserve">Razlog odstupanja na dan 31. prosinca 2025.g. je zbog prijenosa vlasništva računalne opreme iz projekta Carneta Podrška provedbi Cjelovite kurikularne reforme faza II.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nedospjela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22.705,95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145.072,51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638,9</w:t>
            </w:r>
          </w:p>
        </w:tc>
      </w:tr>
    </w:tbl>
    <w:p>
      <w:pPr>
        <w:spacing w:before="0" w:after="0"/>
      </w:pPr>
    </w:p>
    <w:p>
      <w:r>
        <w:t xml:space="preserve">Potraživanja za prihode poslovanja su nedospjela, iz razloga što dospijevaju u narednom razdoblju, u siječnju 2026.g. Odnose se na plaću za prosinac, drugi dohodak i materijalna prava 2025.-121.368,86 eura te vlastita i namjenska sredstva-23.703,65 eura. Razlika u indeksu, u odnosu na prethodno razdoblje je velika, zbog novih shema knjiženja od 1.1.2025.g. i ukidanja kontinuiranih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nespomenuta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667,17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280,97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42,1</w:t>
            </w:r>
          </w:p>
        </w:tc>
      </w:tr>
    </w:tbl>
    <w:p>
      <w:pPr>
        <w:spacing w:before="0" w:after="0"/>
      </w:pPr>
    </w:p>
    <w:p>
      <w:r>
        <w:t xml:space="preserve">Razlog odstupanja u odnosu na početno stanje odnosi se na isknjiženje PDV-a sadržanog u potraživanjima koja su otpisana vezano za kandidate autoškole.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ispravci iz prethodnih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348,14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Korekcija rezultata poslovanja izvršena je zbog povrata vlastitih sredstava kandidatu auto-škole zbog raskida ugovora o osposobljavanju za vozača B kategorije. Također izvršena je korekcija uvećanja rezultata poslovanja zbog ispravka isplate drugog dohotka. Rezultat poslovanja umanjen je zbog povrata sredstava u državni proračun za nabavu udžbenika. Rezultat poslovanja uvećan je i zbog refundacije za nabavu udžbenika za učenike iz Ukrajine.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Tuđa imovina dobivena na korištenje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44.473,33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740,76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1,7</w:t>
            </w:r>
          </w:p>
        </w:tc>
      </w:tr>
    </w:tbl>
    <w:p>
      <w:pPr>
        <w:spacing w:before="0" w:after="0"/>
      </w:pPr>
    </w:p>
    <w:p>
      <w:r>
        <w:t xml:space="preserve">Razlog odstupanja na dan 31. prosinca 2025.g. je zbog prijenos vlasništva računalne opreme Carneta iz projekta Podrška provedbi Cjelovite kurikularne reforme faza II.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38.300,70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Riječ je o ispravku vrijednosti za 2025. koji se odnosi na građevinske objekte, postrojenja i opremu i prijevozna sredstva.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44.473,33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Navedeni iznos se odnos na prijenos vlasništva Carnetove računalne opreme koja se vodila u poslovnim knjigama MZO-a, vezano za projekt Podrška provedbi Cjelovite kurikularne reforme faza II.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Povećanje obveza u izvještajnom razdoblju (šifre V003+N23+N24 + 'N dio 25,26'+N27)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1.647.661,12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se odnose na isplatu plaća, materijalnih prava, drugog dohotka, novčanih naknada zbog nezapošljavanja osoba s invaliditetom, računa, predračuna i naknada za prijevoz.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odnosi se isključivo na obveze čije je dospijeće 31. prosinca 2025. godine, dok obveze za plaću i računi za prosinac dospijevaju u siječnju 2026. te na dan 31. prosinca nisu dospjele.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134.460,52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u ukupnom iznosu 134.460,52 eura, odnosi se na plaću, materijalna prava, drugi dohodak, račune i  obveza za refundaciju bolovanja od HZZO-a za prosinac 2025.g. koji dospijevaju u siječnju 2026.g., i obveza za refundaciju bolovanja od HZZO-a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1ecc096f364c7b" /></Relationships>
</file>