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DB" w:rsidRPr="004E307A" w:rsidRDefault="00EA6634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PROMETNO-TEHNIČKA ŠKOLA ŠIBENIK</w:t>
      </w:r>
    </w:p>
    <w:p w:rsidR="00257CDB" w:rsidRPr="004E307A" w:rsidRDefault="00257CDB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PUT GIMNAZIJE 64, ŠIBENIK</w:t>
      </w:r>
    </w:p>
    <w:p w:rsidR="00A3600A" w:rsidRPr="004E307A" w:rsidRDefault="004E307A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KLASA</w:t>
      </w:r>
      <w:r w:rsidR="00A3600A" w:rsidRPr="004E307A">
        <w:rPr>
          <w:rFonts w:ascii="Times New Roman" w:hAnsi="Times New Roman" w:cs="Times New Roman"/>
          <w:b/>
          <w:sz w:val="24"/>
          <w:szCs w:val="24"/>
        </w:rPr>
        <w:t>:</w:t>
      </w:r>
      <w:r w:rsidR="00113C02">
        <w:rPr>
          <w:rFonts w:ascii="Times New Roman" w:hAnsi="Times New Roman" w:cs="Times New Roman"/>
          <w:b/>
          <w:sz w:val="24"/>
          <w:szCs w:val="24"/>
        </w:rPr>
        <w:t>402-01/26</w:t>
      </w:r>
      <w:r w:rsidR="00820DC0">
        <w:rPr>
          <w:rFonts w:ascii="Times New Roman" w:hAnsi="Times New Roman" w:cs="Times New Roman"/>
          <w:b/>
          <w:sz w:val="24"/>
          <w:szCs w:val="24"/>
        </w:rPr>
        <w:t>-01/</w:t>
      </w:r>
      <w:r w:rsidR="00B66760">
        <w:rPr>
          <w:rFonts w:ascii="Times New Roman" w:hAnsi="Times New Roman" w:cs="Times New Roman"/>
          <w:b/>
          <w:sz w:val="24"/>
          <w:szCs w:val="24"/>
        </w:rPr>
        <w:t>2</w:t>
      </w:r>
    </w:p>
    <w:p w:rsidR="00A3600A" w:rsidRPr="004E307A" w:rsidRDefault="004E307A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URBROJ</w:t>
      </w:r>
      <w:r w:rsidR="00A3600A" w:rsidRPr="004E307A">
        <w:rPr>
          <w:rFonts w:ascii="Times New Roman" w:hAnsi="Times New Roman" w:cs="Times New Roman"/>
          <w:b/>
          <w:sz w:val="24"/>
          <w:szCs w:val="24"/>
        </w:rPr>
        <w:t>:</w:t>
      </w:r>
      <w:r w:rsidR="00113C02">
        <w:rPr>
          <w:rFonts w:ascii="Times New Roman" w:hAnsi="Times New Roman" w:cs="Times New Roman"/>
          <w:b/>
          <w:sz w:val="24"/>
          <w:szCs w:val="24"/>
        </w:rPr>
        <w:t>2182-54-01-26</w:t>
      </w:r>
      <w:r w:rsidR="00E11C94">
        <w:rPr>
          <w:rFonts w:ascii="Times New Roman" w:hAnsi="Times New Roman" w:cs="Times New Roman"/>
          <w:b/>
          <w:sz w:val="24"/>
          <w:szCs w:val="24"/>
        </w:rPr>
        <w:t>-1</w:t>
      </w:r>
    </w:p>
    <w:p w:rsidR="00A3600A" w:rsidRPr="004E307A" w:rsidRDefault="00F95373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Šibenik, 24</w:t>
      </w:r>
      <w:r w:rsidR="00540B16">
        <w:rPr>
          <w:rFonts w:ascii="Times New Roman" w:hAnsi="Times New Roman" w:cs="Times New Roman"/>
          <w:b/>
          <w:sz w:val="24"/>
          <w:szCs w:val="24"/>
        </w:rPr>
        <w:t>.ožujka 2026</w:t>
      </w:r>
      <w:r w:rsidR="00A3600A" w:rsidRPr="004E307A">
        <w:rPr>
          <w:rFonts w:ascii="Times New Roman" w:hAnsi="Times New Roman" w:cs="Times New Roman"/>
          <w:b/>
          <w:sz w:val="24"/>
          <w:szCs w:val="24"/>
        </w:rPr>
        <w:t>.</w:t>
      </w:r>
      <w:r w:rsidR="004C16A2">
        <w:rPr>
          <w:rFonts w:ascii="Times New Roman" w:hAnsi="Times New Roman" w:cs="Times New Roman"/>
          <w:b/>
          <w:sz w:val="24"/>
          <w:szCs w:val="24"/>
        </w:rPr>
        <w:t>g.</w:t>
      </w:r>
    </w:p>
    <w:p w:rsidR="00257CDB" w:rsidRDefault="00257CDB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8D7" w:rsidRDefault="00E978D7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8D7" w:rsidRPr="004E307A" w:rsidRDefault="00E978D7" w:rsidP="00A3600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00A" w:rsidRPr="004E307A" w:rsidRDefault="00A3600A" w:rsidP="00A3600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E39" w:rsidRPr="00E978D7" w:rsidRDefault="00A3600A" w:rsidP="00A3600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8D7">
        <w:rPr>
          <w:rFonts w:ascii="Times New Roman" w:hAnsi="Times New Roman" w:cs="Times New Roman"/>
          <w:b/>
          <w:sz w:val="24"/>
          <w:szCs w:val="24"/>
        </w:rPr>
        <w:t>GODIŠNJ</w:t>
      </w:r>
      <w:r w:rsidR="00C31E39" w:rsidRPr="00E978D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E978D7">
        <w:rPr>
          <w:rFonts w:ascii="Times New Roman" w:hAnsi="Times New Roman" w:cs="Times New Roman"/>
          <w:b/>
          <w:sz w:val="24"/>
          <w:szCs w:val="24"/>
        </w:rPr>
        <w:t>IZVJEŠ</w:t>
      </w:r>
      <w:r w:rsidR="00C31E39" w:rsidRPr="00E978D7">
        <w:rPr>
          <w:rFonts w:ascii="Times New Roman" w:hAnsi="Times New Roman" w:cs="Times New Roman"/>
          <w:b/>
          <w:sz w:val="24"/>
          <w:szCs w:val="24"/>
        </w:rPr>
        <w:t>TAJ</w:t>
      </w:r>
      <w:r w:rsidRPr="00E978D7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</w:p>
    <w:p w:rsidR="00A3600A" w:rsidRPr="00E978D7" w:rsidRDefault="00EA6634" w:rsidP="00A3600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PROMETNO-TEHNIČKE ŠKOLE ŠIBENIK </w:t>
      </w:r>
      <w:r w:rsidR="00540B16">
        <w:rPr>
          <w:rFonts w:ascii="Times New Roman" w:hAnsi="Times New Roman" w:cs="Times New Roman"/>
          <w:b/>
          <w:sz w:val="24"/>
          <w:szCs w:val="24"/>
        </w:rPr>
        <w:t>ZA 2025</w:t>
      </w:r>
      <w:r w:rsidR="00A3600A" w:rsidRPr="00E978D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3600A" w:rsidRPr="00E978D7" w:rsidRDefault="00A3600A" w:rsidP="00A3600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D7" w:rsidRDefault="00E978D7" w:rsidP="00A3600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D7" w:rsidRPr="004E307A" w:rsidRDefault="00E978D7" w:rsidP="00A3600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CC" w:rsidRDefault="00820DC0" w:rsidP="00BF3C7B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Zakonom o proračunu i </w:t>
      </w:r>
      <w:r w:rsidR="00D353CC" w:rsidRPr="004E307A">
        <w:rPr>
          <w:color w:val="231F20"/>
        </w:rPr>
        <w:t>Pravilnikom o polugodišnjem i godišnjem izvještaju o izvršenju proračuna i financijskog plana (NN 85/23) propis</w:t>
      </w:r>
      <w:r w:rsidR="00AE26A9" w:rsidRPr="004E307A">
        <w:rPr>
          <w:color w:val="231F20"/>
        </w:rPr>
        <w:t>an je</w:t>
      </w:r>
      <w:r w:rsidR="00D353CC" w:rsidRPr="004E307A">
        <w:rPr>
          <w:color w:val="231F20"/>
        </w:rPr>
        <w:t xml:space="preserve"> izgled, sadržaj, obveznici primjene, način i rokovi podnošenja, donošenja i objave polugodišnjeg i godišnjeg izvještaja o izvršenju proračuna i financijskog plana.</w:t>
      </w:r>
      <w:r>
        <w:rPr>
          <w:color w:val="231F20"/>
        </w:rPr>
        <w:t xml:space="preserve"> Izvještajem o izvršenju financijskog plana dobiva se informacija o tome jesu li sredstva utrošena sukladno financijskom planu.</w:t>
      </w:r>
    </w:p>
    <w:p w:rsidR="00820DC0" w:rsidRDefault="00820DC0" w:rsidP="00BF3C7B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Godišnji izvještaj o izvršenju financijskog plan</w:t>
      </w:r>
      <w:r w:rsidR="00540B16">
        <w:rPr>
          <w:color w:val="231F20"/>
        </w:rPr>
        <w:t>a proračunskog korisnika za 2025</w:t>
      </w:r>
      <w:r>
        <w:rPr>
          <w:color w:val="231F20"/>
        </w:rPr>
        <w:t xml:space="preserve">. </w:t>
      </w:r>
      <w:r w:rsidR="004A3143">
        <w:rPr>
          <w:color w:val="231F20"/>
        </w:rPr>
        <w:t>g</w:t>
      </w:r>
      <w:r>
        <w:rPr>
          <w:color w:val="231F20"/>
        </w:rPr>
        <w:t>odinu</w:t>
      </w:r>
      <w:r w:rsidR="009142F6">
        <w:rPr>
          <w:color w:val="231F20"/>
        </w:rPr>
        <w:t xml:space="preserve"> sas</w:t>
      </w:r>
      <w:r>
        <w:rPr>
          <w:color w:val="231F20"/>
        </w:rPr>
        <w:t xml:space="preserve">tavlja se za razdoblje od </w:t>
      </w:r>
      <w:r w:rsidR="009142F6">
        <w:rPr>
          <w:color w:val="231F20"/>
        </w:rPr>
        <w:t xml:space="preserve">1. </w:t>
      </w:r>
      <w:r w:rsidR="004A3143">
        <w:rPr>
          <w:color w:val="231F20"/>
        </w:rPr>
        <w:t>s</w:t>
      </w:r>
      <w:r w:rsidR="009142F6">
        <w:rPr>
          <w:color w:val="231F20"/>
        </w:rPr>
        <w:t xml:space="preserve">iječnja do 31. </w:t>
      </w:r>
      <w:r w:rsidR="004A3143">
        <w:rPr>
          <w:color w:val="231F20"/>
        </w:rPr>
        <w:t>p</w:t>
      </w:r>
      <w:r w:rsidR="009142F6">
        <w:rPr>
          <w:color w:val="231F20"/>
        </w:rPr>
        <w:t>rosi</w:t>
      </w:r>
      <w:r w:rsidR="00540B16">
        <w:rPr>
          <w:color w:val="231F20"/>
        </w:rPr>
        <w:t>nca 2025. g</w:t>
      </w:r>
      <w:r w:rsidR="004A3143">
        <w:rPr>
          <w:color w:val="231F20"/>
        </w:rPr>
        <w:t>odine.</w:t>
      </w:r>
    </w:p>
    <w:p w:rsidR="004A3143" w:rsidRPr="004E307A" w:rsidRDefault="004A3143" w:rsidP="00BF3C7B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AE26A9" w:rsidRPr="004A3143" w:rsidRDefault="00AE26A9" w:rsidP="00BF3C7B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4A3143">
        <w:rPr>
          <w:b/>
          <w:color w:val="231F20"/>
        </w:rPr>
        <w:t>Godišnji izvještaj o izvršenju financijskog plana sadrži:</w:t>
      </w:r>
    </w:p>
    <w:p w:rsidR="00E978D7" w:rsidRPr="004E307A" w:rsidRDefault="00E978D7" w:rsidP="00E11D9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AE26A9" w:rsidRPr="004E307A" w:rsidRDefault="00AE26A9" w:rsidP="00BF3C7B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Opći dio:</w:t>
      </w:r>
    </w:p>
    <w:p w:rsidR="00AE26A9" w:rsidRPr="004E307A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sažetak Računa prihoda i rashoda i Računa financiranja,</w:t>
      </w:r>
    </w:p>
    <w:p w:rsidR="00AE26A9" w:rsidRPr="004E307A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Račun prihoda i rashoda i</w:t>
      </w:r>
    </w:p>
    <w:p w:rsidR="00AE26A9" w:rsidRPr="004E307A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Račun financiranja.</w:t>
      </w:r>
    </w:p>
    <w:p w:rsidR="00C31E39" w:rsidRPr="004E307A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color w:val="231F20"/>
        </w:rPr>
      </w:pPr>
    </w:p>
    <w:p w:rsidR="00AE26A9" w:rsidRPr="004E307A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Posebni dio:</w:t>
      </w:r>
    </w:p>
    <w:p w:rsidR="00AE26A9" w:rsidRPr="004E307A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 xml:space="preserve">izvještaj </w:t>
      </w:r>
      <w:r w:rsidR="00E11D99" w:rsidRPr="004E307A">
        <w:rPr>
          <w:color w:val="231F20"/>
        </w:rPr>
        <w:t>p</w:t>
      </w:r>
      <w:r w:rsidRPr="004E307A">
        <w:rPr>
          <w:color w:val="231F20"/>
        </w:rPr>
        <w:t>o programskoj klasifikaciji</w:t>
      </w:r>
      <w:r w:rsidR="00E11D99" w:rsidRPr="004E307A">
        <w:rPr>
          <w:color w:val="231F20"/>
        </w:rPr>
        <w:t xml:space="preserve"> sadrži prikaz rashoda i izdataka iskazanih po izvorima financiranja i ekonomskoj klasifikaciji, raspoređenih u programe koji se sastoje od aktivnosti i projekata.</w:t>
      </w:r>
    </w:p>
    <w:p w:rsidR="00C31E39" w:rsidRPr="004E307A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color w:val="231F20"/>
        </w:rPr>
      </w:pPr>
    </w:p>
    <w:p w:rsidR="00E11D99" w:rsidRPr="004E307A" w:rsidRDefault="00E11D9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Obrazloženje</w:t>
      </w:r>
      <w:r w:rsidR="00B81EE5" w:rsidRPr="004E307A">
        <w:rPr>
          <w:b/>
          <w:color w:val="231F20"/>
        </w:rPr>
        <w:t xml:space="preserve">: </w:t>
      </w:r>
    </w:p>
    <w:p w:rsidR="00B81EE5" w:rsidRPr="004E307A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obrazloženje ostvarenih prihoda i primitaka te rashoda i izdataka.</w:t>
      </w:r>
    </w:p>
    <w:p w:rsidR="00C31E39" w:rsidRPr="004E307A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16"/>
        <w:jc w:val="both"/>
        <w:textAlignment w:val="baseline"/>
        <w:rPr>
          <w:color w:val="231F20"/>
        </w:rPr>
      </w:pPr>
    </w:p>
    <w:p w:rsidR="00B81EE5" w:rsidRPr="004E307A" w:rsidRDefault="00B81EE5" w:rsidP="00B81EE5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 xml:space="preserve">Posebni izvještaji: </w:t>
      </w:r>
    </w:p>
    <w:p w:rsidR="00B81EE5" w:rsidRPr="004E307A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izvještaj o zaduživanju na domaćem i stranom tržištu novca i kapitala,</w:t>
      </w:r>
    </w:p>
    <w:p w:rsidR="00B81EE5" w:rsidRPr="004E307A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izvještaj o korištenju sredstava fondova EU,</w:t>
      </w:r>
    </w:p>
    <w:p w:rsidR="00B81EE5" w:rsidRPr="004E307A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izvještaj o danim zajmovima i potraživanjima po danim zajmovima,</w:t>
      </w:r>
    </w:p>
    <w:p w:rsidR="00B81EE5" w:rsidRPr="004E307A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4E307A">
        <w:rPr>
          <w:color w:val="231F20"/>
        </w:rPr>
        <w:t>izvještaj o stanju potraživanja i dospjelih obveza te o stanju potencijalnih obveza po osnovu sudskih sporova.</w:t>
      </w:r>
    </w:p>
    <w:p w:rsidR="008D2A15" w:rsidRDefault="008D2A15" w:rsidP="008D2A15">
      <w:pPr>
        <w:pStyle w:val="box474667"/>
        <w:shd w:val="clear" w:color="auto" w:fill="FFFFFF"/>
        <w:spacing w:before="0" w:beforeAutospacing="0" w:after="48" w:afterAutospacing="0"/>
        <w:ind w:left="1056"/>
        <w:jc w:val="both"/>
        <w:textAlignment w:val="baseline"/>
        <w:rPr>
          <w:color w:val="231F20"/>
        </w:rPr>
      </w:pPr>
    </w:p>
    <w:p w:rsidR="00E978D7" w:rsidRDefault="00E978D7" w:rsidP="008D2A15">
      <w:pPr>
        <w:pStyle w:val="box474667"/>
        <w:shd w:val="clear" w:color="auto" w:fill="FFFFFF"/>
        <w:spacing w:before="0" w:beforeAutospacing="0" w:after="48" w:afterAutospacing="0"/>
        <w:ind w:left="1056"/>
        <w:jc w:val="both"/>
        <w:textAlignment w:val="baseline"/>
        <w:rPr>
          <w:color w:val="231F20"/>
        </w:rPr>
      </w:pPr>
    </w:p>
    <w:p w:rsidR="00E978D7" w:rsidRDefault="00E978D7" w:rsidP="008D2A15">
      <w:pPr>
        <w:pStyle w:val="box474667"/>
        <w:shd w:val="clear" w:color="auto" w:fill="FFFFFF"/>
        <w:spacing w:before="0" w:beforeAutospacing="0" w:after="48" w:afterAutospacing="0"/>
        <w:ind w:left="1056"/>
        <w:jc w:val="both"/>
        <w:textAlignment w:val="baseline"/>
        <w:rPr>
          <w:color w:val="231F20"/>
        </w:rPr>
      </w:pPr>
    </w:p>
    <w:p w:rsidR="00E978D7" w:rsidRDefault="00E978D7" w:rsidP="00E978D7">
      <w:pPr>
        <w:pStyle w:val="box474667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E978D7">
        <w:rPr>
          <w:b/>
          <w:color w:val="231F20"/>
        </w:rPr>
        <w:t xml:space="preserve">OBRAZLOŽENJE GODIŠNJEG IZVJEŠTAJA O IZVRŠENJU FINANCIJSKOG PLANA </w:t>
      </w:r>
      <w:r w:rsidR="00EA6634">
        <w:rPr>
          <w:b/>
          <w:color w:val="231F20"/>
        </w:rPr>
        <w:t xml:space="preserve">PROMETNO-TEHNIČKU ŠKOLU ŠIBENIK </w:t>
      </w:r>
      <w:r w:rsidR="0066191E">
        <w:rPr>
          <w:b/>
          <w:color w:val="231F20"/>
        </w:rPr>
        <w:t>ZA 2025</w:t>
      </w:r>
      <w:r w:rsidRPr="00E978D7">
        <w:rPr>
          <w:b/>
          <w:color w:val="231F20"/>
        </w:rPr>
        <w:t>. GODINU</w:t>
      </w:r>
    </w:p>
    <w:p w:rsidR="00E978D7" w:rsidRDefault="00E978D7" w:rsidP="00F7332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</w:rPr>
      </w:pPr>
    </w:p>
    <w:p w:rsidR="00E978D7" w:rsidRPr="00E978D7" w:rsidRDefault="00E978D7" w:rsidP="00E978D7">
      <w:pPr>
        <w:pStyle w:val="box474667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:rsidR="008D2A15" w:rsidRDefault="00BD52FD" w:rsidP="008D2A15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OPĆI DIO</w:t>
      </w:r>
      <w:r w:rsidR="008D2A15" w:rsidRPr="004E307A">
        <w:rPr>
          <w:rFonts w:ascii="Times New Roman" w:hAnsi="Times New Roman" w:cs="Times New Roman"/>
          <w:b/>
          <w:sz w:val="24"/>
          <w:szCs w:val="24"/>
        </w:rPr>
        <w:t>:</w:t>
      </w:r>
    </w:p>
    <w:p w:rsidR="00905A7E" w:rsidRPr="004E307A" w:rsidRDefault="00905A7E" w:rsidP="00905A7E">
      <w:pPr>
        <w:pStyle w:val="Odlomakpopisa"/>
        <w:spacing w:before="60" w:after="6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E39" w:rsidRDefault="008D2A15" w:rsidP="00C31E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3F72C3" w:rsidRPr="004E307A">
        <w:rPr>
          <w:rFonts w:ascii="Times New Roman" w:hAnsi="Times New Roman" w:cs="Times New Roman"/>
          <w:b/>
          <w:sz w:val="24"/>
          <w:szCs w:val="24"/>
        </w:rPr>
        <w:t>Računa prihoda i rashoda i Računa financiranja</w:t>
      </w:r>
    </w:p>
    <w:p w:rsidR="00BF3C7B" w:rsidRPr="004E307A" w:rsidRDefault="00BF3C7B" w:rsidP="00BF3C7B">
      <w:pPr>
        <w:pStyle w:val="Odlomakpopisa"/>
        <w:spacing w:before="60" w:after="6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E39" w:rsidRDefault="00C31E39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07A">
        <w:rPr>
          <w:rFonts w:ascii="Times New Roman" w:hAnsi="Times New Roman" w:cs="Times New Roman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  <w:r w:rsidR="0066191E">
        <w:rPr>
          <w:rFonts w:ascii="Times New Roman" w:hAnsi="Times New Roman" w:cs="Times New Roman"/>
          <w:sz w:val="24"/>
          <w:szCs w:val="24"/>
        </w:rPr>
        <w:t xml:space="preserve">  </w:t>
      </w:r>
      <w:r w:rsidR="004A3143">
        <w:rPr>
          <w:rFonts w:ascii="Times New Roman" w:hAnsi="Times New Roman" w:cs="Times New Roman"/>
          <w:sz w:val="24"/>
          <w:szCs w:val="24"/>
        </w:rPr>
        <w:t>Sažetak sadrži izvorni plan odnosn</w:t>
      </w:r>
      <w:r w:rsidR="00113C02">
        <w:rPr>
          <w:rFonts w:ascii="Times New Roman" w:hAnsi="Times New Roman" w:cs="Times New Roman"/>
          <w:sz w:val="24"/>
          <w:szCs w:val="24"/>
        </w:rPr>
        <w:t>o rebalans i tekući plan za 2025.g.</w:t>
      </w:r>
      <w:r w:rsidR="004A3143">
        <w:rPr>
          <w:rFonts w:ascii="Times New Roman" w:hAnsi="Times New Roman" w:cs="Times New Roman"/>
          <w:sz w:val="24"/>
          <w:szCs w:val="24"/>
        </w:rPr>
        <w:t>. Te usporedbu između ostvarenog i financijskog plana.</w:t>
      </w:r>
    </w:p>
    <w:p w:rsidR="00972777" w:rsidRDefault="00972777" w:rsidP="0066191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66191E" w:rsidTr="0066191E">
        <w:trPr>
          <w:trHeight w:val="255"/>
        </w:trPr>
        <w:tc>
          <w:tcPr>
            <w:tcW w:w="10035" w:type="dxa"/>
            <w:shd w:val="clear" w:color="auto" w:fill="auto"/>
          </w:tcPr>
          <w:p w:rsidR="0066191E" w:rsidRDefault="0066191E" w:rsidP="0066191E">
            <w:pPr>
              <w:pStyle w:val="ParagraphStyle2"/>
              <w:ind w:left="0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:rsidR="0066191E" w:rsidRDefault="0066191E" w:rsidP="0066191E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66191E" w:rsidTr="0066191E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66191E" w:rsidTr="0066191E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66191E" w:rsidTr="0066191E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85296B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1.531.894,75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1.591.845,00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1.640.737,27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107,11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103,07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1.529.673,15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1.591.845,00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1.640.737,27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107,26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103,07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2.221,60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0,00</w:t>
            </w:r>
          </w:p>
        </w:tc>
      </w:tr>
      <w:tr w:rsidR="0066191E" w:rsidTr="0066191E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85296B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1.527.763,23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1.614.553,00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1.766.959,82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115,66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9"/>
              <w:rPr>
                <w:rStyle w:val="CharacterStyle9"/>
              </w:rPr>
            </w:pPr>
            <w:r w:rsidRPr="0085296B">
              <w:rPr>
                <w:rStyle w:val="CharacterStyle9"/>
              </w:rPr>
              <w:t>109,44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1.503.620,07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1.591.096,00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1.721.199,96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114,47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108,18</w:t>
            </w:r>
          </w:p>
        </w:tc>
      </w:tr>
      <w:tr w:rsidR="0066191E" w:rsidTr="0066191E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24.143,16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23.457,00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45.759,86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189,54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66191E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195,08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85296B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4.131,52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- 22.708,00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  <w:r w:rsidRPr="0085296B">
              <w:rPr>
                <w:rStyle w:val="CharacterStyle8"/>
              </w:rPr>
              <w:t>- 126.222,55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Pr="0085296B" w:rsidRDefault="0066191E" w:rsidP="0066191E">
            <w:pPr>
              <w:pStyle w:val="ParagraphStyle9"/>
              <w:rPr>
                <w:rStyle w:val="CharacterStyle9"/>
              </w:rPr>
            </w:pPr>
            <w:r w:rsidRPr="0085296B">
              <w:rPr>
                <w:rStyle w:val="CharacterStyle9"/>
              </w:rPr>
              <w:t>555,85</w:t>
            </w:r>
          </w:p>
        </w:tc>
      </w:tr>
    </w:tbl>
    <w:p w:rsidR="0066191E" w:rsidRDefault="0066191E" w:rsidP="0066191E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66191E" w:rsidTr="0066191E">
        <w:trPr>
          <w:trHeight w:val="255"/>
        </w:trPr>
        <w:tc>
          <w:tcPr>
            <w:tcW w:w="10035" w:type="dxa"/>
            <w:shd w:val="clear" w:color="auto" w:fill="auto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:rsidR="0066191E" w:rsidRDefault="0066191E" w:rsidP="0066191E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66191E" w:rsidTr="0066191E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66191E" w:rsidTr="0066191E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0,00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85296B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1"/>
              <w:rPr>
                <w:rStyle w:val="CharacterStyle11"/>
                <w:i w:val="0"/>
              </w:rPr>
            </w:pPr>
            <w:r w:rsidRPr="0085296B">
              <w:rPr>
                <w:rStyle w:val="CharacterStyle11"/>
                <w:i w:val="0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Pr="0085296B" w:rsidRDefault="0066191E" w:rsidP="0085296B">
            <w:pPr>
              <w:pStyle w:val="ParagraphStyle12"/>
              <w:rPr>
                <w:rStyle w:val="CharacterStyle12"/>
                <w:i w:val="0"/>
              </w:rPr>
            </w:pPr>
            <w:r w:rsidRPr="0085296B">
              <w:rPr>
                <w:rStyle w:val="CharacterStyle12"/>
                <w:i w:val="0"/>
              </w:rPr>
              <w:t>0,00</w:t>
            </w:r>
          </w:p>
        </w:tc>
      </w:tr>
      <w:tr w:rsidR="0066191E" w:rsidTr="0066191E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lastRenderedPageBreak/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:rsidR="0066191E" w:rsidRDefault="0066191E" w:rsidP="0066191E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66191E" w:rsidTr="0066191E">
        <w:trPr>
          <w:trHeight w:val="255"/>
        </w:trPr>
        <w:tc>
          <w:tcPr>
            <w:tcW w:w="10035" w:type="dxa"/>
            <w:shd w:val="clear" w:color="auto" w:fill="auto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:rsidR="0066191E" w:rsidRDefault="0066191E" w:rsidP="0066191E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66191E" w:rsidTr="0066191E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66191E" w:rsidTr="0066191E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66191E" w:rsidP="009A4E4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054A4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20.030,60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22.708,00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F95373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22.708,00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4C16A2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113,37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66191E" w:rsidRDefault="004C16A2" w:rsidP="0066191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100,00</w:t>
            </w:r>
          </w:p>
        </w:tc>
      </w:tr>
      <w:tr w:rsidR="0066191E" w:rsidTr="0066191E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9A4E47">
            <w:pPr>
              <w:pStyle w:val="ParagraphStyle16"/>
              <w:jc w:val="left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054A4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20.030,60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22.708,00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A10D7" w:rsidP="006A10D7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17.003,13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4C16A2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84,89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4C16A2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74,88</w:t>
            </w:r>
          </w:p>
        </w:tc>
      </w:tr>
    </w:tbl>
    <w:p w:rsidR="0066191E" w:rsidRDefault="0066191E" w:rsidP="0066191E">
      <w:pPr>
        <w:spacing w:line="10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66191E" w:rsidTr="0066191E">
        <w:trPr>
          <w:trHeight w:val="51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054A4E" w:rsidP="00054A4E">
            <w:pPr>
              <w:pStyle w:val="ParagraphStyle18"/>
              <w:jc w:val="left"/>
              <w:rPr>
                <w:rStyle w:val="CharacterStyle18"/>
              </w:rPr>
            </w:pPr>
            <w:r>
              <w:rPr>
                <w:rStyle w:val="CharacterStyle18"/>
              </w:rPr>
              <w:t>23.042,12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C460F3" w:rsidP="00054A4E">
            <w:pPr>
              <w:pStyle w:val="ParagraphStyle18"/>
              <w:jc w:val="left"/>
              <w:rPr>
                <w:rStyle w:val="CharacterStyle18"/>
              </w:rPr>
            </w:pPr>
            <w:r>
              <w:rPr>
                <w:rStyle w:val="CharacterStyle18"/>
              </w:rPr>
              <w:t>22.708,00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E20905" w:rsidP="00F95373">
            <w:pPr>
              <w:pStyle w:val="ParagraphStyle18"/>
              <w:jc w:val="left"/>
              <w:rPr>
                <w:rStyle w:val="CharacterStyle18"/>
              </w:rPr>
            </w:pPr>
            <w:r>
              <w:rPr>
                <w:rStyle w:val="CharacterStyle18"/>
              </w:rPr>
              <w:t>-</w:t>
            </w:r>
            <w:r w:rsidR="00F95373">
              <w:rPr>
                <w:rStyle w:val="CharacterStyle18"/>
              </w:rPr>
              <w:t>109.219,42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9"/>
              <w:rPr>
                <w:rStyle w:val="CharacterStyle19"/>
              </w:rPr>
            </w:pPr>
          </w:p>
        </w:tc>
      </w:tr>
    </w:tbl>
    <w:p w:rsidR="0066191E" w:rsidRDefault="0066191E" w:rsidP="0066191E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66191E" w:rsidTr="0066191E">
        <w:trPr>
          <w:trHeight w:val="1065"/>
        </w:trPr>
        <w:tc>
          <w:tcPr>
            <w:tcW w:w="9690" w:type="dxa"/>
            <w:shd w:val="clear" w:color="auto" w:fill="auto"/>
          </w:tcPr>
          <w:p w:rsidR="0066191E" w:rsidRDefault="0066191E" w:rsidP="0066191E">
            <w:pPr>
              <w:pStyle w:val="ParagraphStyle20"/>
              <w:rPr>
                <w:rStyle w:val="CharacterStyle20"/>
              </w:rPr>
            </w:pPr>
            <w:r>
              <w:rPr>
                <w:rStyle w:val="CharacterStyle20"/>
              </w:rPr>
              <w:t>Napomena:</w:t>
            </w:r>
            <w:r>
              <w:rPr>
                <w:rStyle w:val="CharacterStyle20"/>
              </w:rPr>
              <w:br/>
            </w:r>
            <w:r>
              <w:rPr>
                <w:rStyle w:val="CharacterStyle20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66191E" w:rsidRDefault="0066191E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1E" w:rsidRDefault="0066191E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6BF" w:rsidRPr="007F0C28" w:rsidRDefault="00571C74" w:rsidP="00C16BB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28">
        <w:rPr>
          <w:rFonts w:ascii="Times New Roman" w:hAnsi="Times New Roman" w:cs="Times New Roman"/>
          <w:sz w:val="24"/>
          <w:szCs w:val="24"/>
        </w:rPr>
        <w:t xml:space="preserve">Za razdoblje prethodne </w:t>
      </w:r>
      <w:r w:rsidR="004E6795">
        <w:rPr>
          <w:rFonts w:ascii="Times New Roman" w:hAnsi="Times New Roman" w:cs="Times New Roman"/>
          <w:sz w:val="24"/>
          <w:szCs w:val="24"/>
        </w:rPr>
        <w:t>godine ostvareno je 1.531.894,75 eura te izvršeno 1.527.763,23</w:t>
      </w:r>
      <w:r w:rsidRPr="007F0C28">
        <w:rPr>
          <w:rFonts w:ascii="Times New Roman" w:hAnsi="Times New Roman" w:cs="Times New Roman"/>
          <w:sz w:val="24"/>
          <w:szCs w:val="24"/>
        </w:rPr>
        <w:t xml:space="preserve"> eura. U slijedeće razdoblje  preneseno j</w:t>
      </w:r>
      <w:r w:rsidR="004E6795">
        <w:rPr>
          <w:rFonts w:ascii="Times New Roman" w:hAnsi="Times New Roman" w:cs="Times New Roman"/>
          <w:sz w:val="24"/>
          <w:szCs w:val="24"/>
        </w:rPr>
        <w:t>e</w:t>
      </w:r>
      <w:r w:rsidRPr="007F0C28">
        <w:rPr>
          <w:rFonts w:ascii="Times New Roman" w:hAnsi="Times New Roman" w:cs="Times New Roman"/>
          <w:sz w:val="24"/>
          <w:szCs w:val="24"/>
        </w:rPr>
        <w:t xml:space="preserve"> eura viška prihoda.</w:t>
      </w:r>
    </w:p>
    <w:p w:rsidR="00571C74" w:rsidRPr="007F0C28" w:rsidRDefault="00571C74" w:rsidP="00C16BB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28">
        <w:rPr>
          <w:rFonts w:ascii="Times New Roman" w:hAnsi="Times New Roman" w:cs="Times New Roman"/>
          <w:sz w:val="24"/>
          <w:szCs w:val="24"/>
        </w:rPr>
        <w:t>Za razdoblje tekuće godine ostvareno je 1.530.774,75 eura te izvršeno 1.527.763,23 eura.</w:t>
      </w:r>
    </w:p>
    <w:p w:rsidR="003618FC" w:rsidRPr="007F0C28" w:rsidRDefault="003618FC" w:rsidP="003618F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28"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ukupni prihodi i </w:t>
      </w:r>
      <w:r w:rsidR="004E6795">
        <w:rPr>
          <w:rFonts w:ascii="Times New Roman" w:hAnsi="Times New Roman" w:cs="Times New Roman"/>
          <w:sz w:val="24"/>
          <w:szCs w:val="24"/>
        </w:rPr>
        <w:t>primici u iznosu od 1.640.737,27</w:t>
      </w:r>
      <w:r w:rsidRPr="007F0C28">
        <w:rPr>
          <w:rFonts w:ascii="Times New Roman" w:hAnsi="Times New Roman" w:cs="Times New Roman"/>
          <w:sz w:val="24"/>
          <w:szCs w:val="24"/>
        </w:rPr>
        <w:t xml:space="preserve">, što je za </w:t>
      </w:r>
      <w:r w:rsidR="009A4E47">
        <w:rPr>
          <w:rFonts w:ascii="Times New Roman" w:hAnsi="Times New Roman" w:cs="Times New Roman"/>
          <w:sz w:val="24"/>
          <w:szCs w:val="24"/>
        </w:rPr>
        <w:t>3,07 % više</w:t>
      </w:r>
      <w:r w:rsidRPr="007F0C28">
        <w:rPr>
          <w:rFonts w:ascii="Times New Roman" w:hAnsi="Times New Roman" w:cs="Times New Roman"/>
          <w:sz w:val="24"/>
          <w:szCs w:val="24"/>
        </w:rPr>
        <w:t xml:space="preserve">  od financijskog</w:t>
      </w:r>
      <w:r w:rsidR="009A4E47">
        <w:rPr>
          <w:rFonts w:ascii="Times New Roman" w:hAnsi="Times New Roman" w:cs="Times New Roman"/>
          <w:sz w:val="24"/>
          <w:szCs w:val="24"/>
        </w:rPr>
        <w:t xml:space="preserve"> plana odnosno rebalansa za 2025</w:t>
      </w:r>
      <w:r w:rsidR="00571C74" w:rsidRPr="007F0C28">
        <w:rPr>
          <w:rFonts w:ascii="Times New Roman" w:hAnsi="Times New Roman" w:cs="Times New Roman"/>
          <w:sz w:val="24"/>
          <w:szCs w:val="24"/>
        </w:rPr>
        <w:t xml:space="preserve">. godinu. </w:t>
      </w:r>
      <w:r w:rsidR="009A4E47">
        <w:rPr>
          <w:rFonts w:ascii="Times New Roman" w:hAnsi="Times New Roman" w:cs="Times New Roman"/>
          <w:sz w:val="24"/>
          <w:szCs w:val="24"/>
        </w:rPr>
        <w:t>Ukupni rashodi i izdaci za 2025. godinu iznose 1.766.959,82</w:t>
      </w:r>
      <w:r w:rsidR="004A3143" w:rsidRPr="007F0C28">
        <w:rPr>
          <w:rFonts w:ascii="Times New Roman" w:hAnsi="Times New Roman" w:cs="Times New Roman"/>
          <w:sz w:val="24"/>
          <w:szCs w:val="24"/>
        </w:rPr>
        <w:t xml:space="preserve"> eura, te su za </w:t>
      </w:r>
      <w:r w:rsidR="009A4E47">
        <w:rPr>
          <w:rFonts w:ascii="Times New Roman" w:hAnsi="Times New Roman" w:cs="Times New Roman"/>
          <w:sz w:val="24"/>
          <w:szCs w:val="24"/>
        </w:rPr>
        <w:t>9,44% veći</w:t>
      </w:r>
      <w:r w:rsidRPr="007F0C28">
        <w:rPr>
          <w:rFonts w:ascii="Times New Roman" w:hAnsi="Times New Roman" w:cs="Times New Roman"/>
          <w:sz w:val="24"/>
          <w:szCs w:val="24"/>
        </w:rPr>
        <w:t xml:space="preserve"> u odnosu na financijski plan  odnosno rebalans</w:t>
      </w:r>
      <w:r w:rsidR="009A4E47">
        <w:rPr>
          <w:rFonts w:ascii="Times New Roman" w:hAnsi="Times New Roman" w:cs="Times New Roman"/>
          <w:sz w:val="24"/>
          <w:szCs w:val="24"/>
        </w:rPr>
        <w:t xml:space="preserve"> za 2025</w:t>
      </w:r>
      <w:r w:rsidR="007F0C28" w:rsidRPr="007F0C28">
        <w:rPr>
          <w:rFonts w:ascii="Times New Roman" w:hAnsi="Times New Roman" w:cs="Times New Roman"/>
          <w:sz w:val="24"/>
          <w:szCs w:val="24"/>
        </w:rPr>
        <w:t>.godinu.</w:t>
      </w:r>
    </w:p>
    <w:p w:rsidR="00F95373" w:rsidRDefault="00F95373" w:rsidP="00C31E3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F3" w:rsidRPr="00C460F3" w:rsidRDefault="00F95373" w:rsidP="00C31E3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na kraju 2024.g.iznosi 22.708</w:t>
      </w:r>
      <w:r w:rsidR="00432852">
        <w:rPr>
          <w:rFonts w:ascii="Times New Roman" w:hAnsi="Times New Roman" w:cs="Times New Roman"/>
          <w:sz w:val="24"/>
          <w:szCs w:val="24"/>
        </w:rPr>
        <w:t xml:space="preserve">,00  eura te smo tako planirali višak prihoda u 2025.g.. U 2025.g. smo poslovali u manjku prihoda koji je pokriven od prenesenog viška poslovanja iz prethodne godine. </w:t>
      </w:r>
      <w:r w:rsidR="00C460F3" w:rsidRPr="00C460F3">
        <w:rPr>
          <w:rFonts w:ascii="Times New Roman" w:hAnsi="Times New Roman" w:cs="Times New Roman"/>
          <w:sz w:val="24"/>
          <w:szCs w:val="24"/>
        </w:rPr>
        <w:t>Navedeni manjak je metodološki manjak /ukinuta je podskupina  193  - kontinuirani rashodi/. Manjak se najvećim dijelom odnosi na plaću</w:t>
      </w:r>
      <w:r w:rsidR="00432852">
        <w:rPr>
          <w:rFonts w:ascii="Times New Roman" w:hAnsi="Times New Roman" w:cs="Times New Roman"/>
          <w:sz w:val="24"/>
          <w:szCs w:val="24"/>
        </w:rPr>
        <w:t xml:space="preserve"> i materijalna prava</w:t>
      </w:r>
      <w:r w:rsidR="00C460F3" w:rsidRPr="00C460F3">
        <w:rPr>
          <w:rFonts w:ascii="Times New Roman" w:hAnsi="Times New Roman" w:cs="Times New Roman"/>
          <w:sz w:val="24"/>
          <w:szCs w:val="24"/>
        </w:rPr>
        <w:t xml:space="preserve"> za 12-2025</w:t>
      </w:r>
      <w:r w:rsidR="00432852">
        <w:rPr>
          <w:rFonts w:ascii="Times New Roman" w:hAnsi="Times New Roman" w:cs="Times New Roman"/>
          <w:sz w:val="24"/>
          <w:szCs w:val="24"/>
        </w:rPr>
        <w:t>,  i račune za 12-2025</w:t>
      </w:r>
      <w:r w:rsidR="00C460F3" w:rsidRPr="00C460F3">
        <w:rPr>
          <w:rFonts w:ascii="Times New Roman" w:hAnsi="Times New Roman" w:cs="Times New Roman"/>
          <w:sz w:val="24"/>
          <w:szCs w:val="24"/>
        </w:rPr>
        <w:t>,</w:t>
      </w:r>
      <w:r w:rsidR="00432852">
        <w:rPr>
          <w:rFonts w:ascii="Times New Roman" w:hAnsi="Times New Roman" w:cs="Times New Roman"/>
          <w:sz w:val="24"/>
          <w:szCs w:val="24"/>
        </w:rPr>
        <w:t xml:space="preserve"> koji su dospjeli </w:t>
      </w:r>
      <w:r w:rsidR="00C460F3" w:rsidRPr="00C460F3">
        <w:rPr>
          <w:rFonts w:ascii="Times New Roman" w:hAnsi="Times New Roman" w:cs="Times New Roman"/>
          <w:sz w:val="24"/>
          <w:szCs w:val="24"/>
        </w:rPr>
        <w:t>u 01</w:t>
      </w:r>
      <w:r w:rsidR="00432852">
        <w:rPr>
          <w:rFonts w:ascii="Times New Roman" w:hAnsi="Times New Roman" w:cs="Times New Roman"/>
          <w:sz w:val="24"/>
          <w:szCs w:val="24"/>
        </w:rPr>
        <w:t>.</w:t>
      </w:r>
      <w:r w:rsidR="00C460F3" w:rsidRPr="00C460F3">
        <w:rPr>
          <w:rFonts w:ascii="Times New Roman" w:hAnsi="Times New Roman" w:cs="Times New Roman"/>
          <w:sz w:val="24"/>
          <w:szCs w:val="24"/>
        </w:rPr>
        <w:t xml:space="preserve"> mjesecu 2026.g. Metodološki manjak  nastaje zbog priznavanja  rashoda prema načelu nastanka poslovnog događaja u izvještajnom razdoblju na koji se odnose, neovisno o plaćanju, a prihodi se priznaju u izvještajnom razdoblju u kojem su naplaćeni.</w:t>
      </w:r>
      <w:r w:rsidR="00432852">
        <w:rPr>
          <w:rFonts w:ascii="Times New Roman" w:hAnsi="Times New Roman" w:cs="Times New Roman"/>
          <w:sz w:val="24"/>
          <w:szCs w:val="24"/>
        </w:rPr>
        <w:t xml:space="preserve"> Višak prihoda koji je prenesen iz 2024.g.u 2025.g. utrošen je za pokriće  rashoda u ukupnom iznosu od 17.003,13 eura. I</w:t>
      </w:r>
      <w:r w:rsidR="002651B1">
        <w:rPr>
          <w:rFonts w:ascii="Times New Roman" w:hAnsi="Times New Roman" w:cs="Times New Roman"/>
          <w:sz w:val="24"/>
          <w:szCs w:val="24"/>
        </w:rPr>
        <w:t xml:space="preserve">znos koji nije utrošen odnosi se na </w:t>
      </w:r>
      <w:r w:rsidR="005A46A5">
        <w:rPr>
          <w:rFonts w:ascii="Times New Roman" w:hAnsi="Times New Roman" w:cs="Times New Roman"/>
          <w:sz w:val="24"/>
          <w:szCs w:val="24"/>
        </w:rPr>
        <w:t xml:space="preserve">vlastite prihode i </w:t>
      </w:r>
      <w:bookmarkStart w:id="0" w:name="_GoBack"/>
      <w:bookmarkEnd w:id="0"/>
      <w:r w:rsidR="002651B1">
        <w:rPr>
          <w:rFonts w:ascii="Times New Roman" w:hAnsi="Times New Roman" w:cs="Times New Roman"/>
          <w:sz w:val="24"/>
          <w:szCs w:val="24"/>
        </w:rPr>
        <w:t xml:space="preserve">pomoći iz državnog proračuna za nabavu </w:t>
      </w:r>
      <w:proofErr w:type="spellStart"/>
      <w:r w:rsidR="002651B1">
        <w:rPr>
          <w:rFonts w:ascii="Times New Roman" w:hAnsi="Times New Roman" w:cs="Times New Roman"/>
          <w:sz w:val="24"/>
          <w:szCs w:val="24"/>
        </w:rPr>
        <w:t>psihodijagnostičkih</w:t>
      </w:r>
      <w:proofErr w:type="spellEnd"/>
      <w:r w:rsidR="002651B1">
        <w:rPr>
          <w:rFonts w:ascii="Times New Roman" w:hAnsi="Times New Roman" w:cs="Times New Roman"/>
          <w:sz w:val="24"/>
          <w:szCs w:val="24"/>
        </w:rPr>
        <w:t xml:space="preserve"> sredstava i udžbenika za uč</w:t>
      </w:r>
      <w:r w:rsidR="00E00C6F">
        <w:rPr>
          <w:rFonts w:ascii="Times New Roman" w:hAnsi="Times New Roman" w:cs="Times New Roman"/>
          <w:sz w:val="24"/>
          <w:szCs w:val="24"/>
        </w:rPr>
        <w:t>enike slabijeg imovinskog sta</w:t>
      </w:r>
      <w:r w:rsidR="004F504A">
        <w:rPr>
          <w:rFonts w:ascii="Times New Roman" w:hAnsi="Times New Roman" w:cs="Times New Roman"/>
          <w:sz w:val="24"/>
          <w:szCs w:val="24"/>
        </w:rPr>
        <w:t>nja te pomoći za županijska stručna v</w:t>
      </w:r>
      <w:r w:rsidR="00E00C6F">
        <w:rPr>
          <w:rFonts w:ascii="Times New Roman" w:hAnsi="Times New Roman" w:cs="Times New Roman"/>
          <w:sz w:val="24"/>
          <w:szCs w:val="24"/>
        </w:rPr>
        <w:t>i</w:t>
      </w:r>
      <w:r w:rsidR="004F504A">
        <w:rPr>
          <w:rFonts w:ascii="Times New Roman" w:hAnsi="Times New Roman" w:cs="Times New Roman"/>
          <w:sz w:val="24"/>
          <w:szCs w:val="24"/>
        </w:rPr>
        <w:t>jeća.</w:t>
      </w:r>
    </w:p>
    <w:p w:rsidR="00C460F3" w:rsidRPr="00C460F3" w:rsidRDefault="00C460F3" w:rsidP="00C31E3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F3" w:rsidRPr="004E307A" w:rsidRDefault="00C460F3" w:rsidP="00C31E3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39" w:rsidRPr="004E307A" w:rsidRDefault="00462939" w:rsidP="004629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:rsid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A2" w:rsidRDefault="000819CC" w:rsidP="004C16A2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E307A">
        <w:rPr>
          <w:rFonts w:ascii="Times New Roman" w:hAnsi="Times New Roman" w:cs="Times New Roman"/>
          <w:sz w:val="24"/>
          <w:szCs w:val="24"/>
        </w:rPr>
        <w:t xml:space="preserve">Račun prihoda i rashoda sadrži prikaz prihoda i rashoda i iskazuje se izvještajima </w:t>
      </w:r>
      <w:r w:rsidR="00A436F3" w:rsidRPr="004E307A">
        <w:rPr>
          <w:rFonts w:ascii="Times New Roman" w:hAnsi="Times New Roman" w:cs="Times New Roman"/>
          <w:sz w:val="24"/>
          <w:szCs w:val="24"/>
        </w:rPr>
        <w:t>prema proračunskim  klasifikacijama:</w:t>
      </w:r>
      <w:r w:rsidR="004C16A2">
        <w:rPr>
          <w:rFonts w:ascii="Calibri" w:hAnsi="Calibri" w:cs="Calibri"/>
          <w:b/>
          <w:sz w:val="24"/>
          <w:szCs w:val="24"/>
        </w:rPr>
        <w:t xml:space="preserve"> </w:t>
      </w:r>
    </w:p>
    <w:p w:rsidR="00C16BBD" w:rsidRDefault="00C16BBD" w:rsidP="0065716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56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8"/>
        <w:gridCol w:w="3171"/>
        <w:gridCol w:w="1212"/>
        <w:gridCol w:w="1480"/>
        <w:gridCol w:w="1480"/>
        <w:gridCol w:w="807"/>
        <w:gridCol w:w="808"/>
      </w:tblGrid>
      <w:tr w:rsidR="00C16BBD" w:rsidRPr="00A3245D" w:rsidTr="004C16A2">
        <w:trPr>
          <w:trHeight w:val="219"/>
        </w:trPr>
        <w:tc>
          <w:tcPr>
            <w:tcW w:w="9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BBD" w:rsidRPr="008A4754" w:rsidRDefault="00C16BBD" w:rsidP="0066191E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O PRIHODIMA I RASHODIMA PREMA EKONOMSKOJ KLASIFIKACIJI </w:t>
            </w:r>
          </w:p>
          <w:p w:rsidR="00571C74" w:rsidRPr="008A4754" w:rsidRDefault="00571C74" w:rsidP="00571C74">
            <w:pPr>
              <w:pStyle w:val="Odlomakpopisa"/>
              <w:spacing w:after="0" w:line="240" w:lineRule="auto"/>
              <w:ind w:left="12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571C74" w:rsidRPr="008A4754" w:rsidRDefault="00571C74" w:rsidP="00571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8A47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Izvještaj o prihodima i rashodima prema ekonomskoj klasifikaciji, a podaci se iskazuju na razini razreda, skupine, podskupine</w:t>
            </w:r>
            <w:r w:rsidR="008A4754" w:rsidRPr="008A47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i odjeljka ekonomske klasifikacije, osim podataka u stupcima Rebalans koji se iskazuju na razini razreda i skupine ekonomske klasifikacije.</w:t>
            </w:r>
          </w:p>
        </w:tc>
      </w:tr>
      <w:tr w:rsidR="00C16BBD" w:rsidRPr="00A3245D" w:rsidTr="004C16A2">
        <w:trPr>
          <w:trHeight w:val="34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BBD" w:rsidRPr="00A3245D" w:rsidRDefault="00C16BBD" w:rsidP="0036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Spec="center" w:tblpY="379"/>
        <w:tblW w:w="10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66191E" w:rsidTr="0066191E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66191E" w:rsidTr="0066191E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1.531.894,75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1.591.845,00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1.640.737,27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107,11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103,07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1.529.673,15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1.591.845,00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1.640.737,27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107,26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103,07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1.337.828,27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1.409.175,00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1.462.013,13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109,28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103,75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1.337.828,27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1.462.013,13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109,28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1.326.022,10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1.461.107,34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11.806,17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905,79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7,67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17.055,83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21.000,00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19.625,50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93,45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17.055,83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19.625,50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17.055,83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19.625,50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37.935,81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13.984,00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13.496,16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35,58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96,51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33.788,81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5.375,16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15,91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33.788,81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5.375,16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15,91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4.147,00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8.121,00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195,83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4.147,00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8.121,00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195,83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136.853,24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147.686,00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145.602,48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98,59</w:t>
            </w:r>
          </w:p>
        </w:tc>
      </w:tr>
      <w:tr w:rsidR="0066191E" w:rsidTr="0066191E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136.853,24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145.602,48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127.359,46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136.002,48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106,79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9.493,78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9.600,00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101,12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od prodaje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2.221,60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72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2.221,60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od prodaje prijevoznih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2.221,60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Prijevozna sredstva u cestovnom prometu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2.221,60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</w:tbl>
    <w:tbl>
      <w:tblPr>
        <w:tblW w:w="10575" w:type="dxa"/>
        <w:tblInd w:w="-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66191E" w:rsidTr="0066191E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FakeCharacterStyle"/>
              </w:rPr>
              <w:br w:type="page"/>
            </w: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66191E" w:rsidTr="0066191E">
        <w:trPr>
          <w:trHeight w:val="210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1.527.763,23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1.614.553,00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</w:t>
            </w:r>
            <w:r w:rsidR="00113C02">
              <w:rPr>
                <w:rStyle w:val="CharacterStyle8"/>
              </w:rPr>
              <w:t>.</w:t>
            </w:r>
            <w:r>
              <w:rPr>
                <w:rStyle w:val="CharacterStyle8"/>
              </w:rPr>
              <w:t>66.959,82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115,66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109,44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113C02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0069D1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1.503.620,07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1.591.096,00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1.721.199,96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114,47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108,18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113C02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0069D1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1.345.249,48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1.409.596,00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1.551.098,15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115,30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110,04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1.120.308,10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1.294.233,01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115,52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1.120.308,10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1.294.233,01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115,52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42.117,05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48.310,70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42.117,05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48.310,70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182.824,33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208.554,44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182.824,33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208.554,44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158.029,05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181.128,00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169.750,28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93,72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33.413,18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39.859,03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119,29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7.618,68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11.352,33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149,01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25.115,50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26.491,72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105,48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2.014,98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296,76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32.483,26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28.628,20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88,13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11.112,39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10.249,27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92,23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21,71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Energija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13.838,88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14.285,57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103,23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2.014,31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2.442,93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121,28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4.255,16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1.238,56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29,11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1.240,81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411,87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74.058,52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79.806,54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107,76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4.045,31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7.018,27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173,49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29.575,52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33.039,23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845,44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8.681,11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10.675,71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122,98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Zakupnine i najamnine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12.958,13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13.149,31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101,48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3.371,13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1.680,00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49,83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8.781,12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10.595,24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120,66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4.009,13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3.119,38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77,81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1.791,63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529,40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29,55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1.150,00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3833,33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1.150,00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3833,33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18.044,09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20.306,51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Premije osiguranja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1.734,63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1.145,76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66,05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1.172,17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1.969,75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168,04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56,25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4.169,50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5.032,00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10.887,79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12.114,00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111,26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4,57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Ostali 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4,57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Zatezne kamate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4,57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336,97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352,00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351,53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99,87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336,97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351,53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3812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336,97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351,53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24.143,16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23.457,00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45.759,86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189,54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195,08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24.143,16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23.457,00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45.759,86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189,54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195,08</w:t>
            </w: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22.269,65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11.141,05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50,03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13.603,97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9.244,05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67,95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2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Oprema za održavanje i zaštitu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1.897,00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Medicinska i laboratorijska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8.665,68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1.873,51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1.628,81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1.873,51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1.628,81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Nematerijalna proizvedena imovina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32.990,00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  <w:tr w:rsidR="0066191E" w:rsidTr="0066191E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Ulaganja u računalne programe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32.990,00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</w:p>
        </w:tc>
      </w:tr>
    </w:tbl>
    <w:p w:rsidR="0066191E" w:rsidRDefault="0066191E" w:rsidP="0066191E"/>
    <w:p w:rsidR="007F0C28" w:rsidRDefault="007F0C28" w:rsidP="0065716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04349B" w:rsidRPr="00657166" w:rsidRDefault="0004349B" w:rsidP="0065716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87FA6">
        <w:rPr>
          <w:rFonts w:ascii="Times New Roman" w:hAnsi="Times New Roman" w:cs="Times New Roman"/>
          <w:b/>
          <w:sz w:val="24"/>
          <w:szCs w:val="24"/>
        </w:rPr>
        <w:t>Ukupni prihodi proračuna</w:t>
      </w:r>
      <w:r w:rsidRPr="004E307A">
        <w:rPr>
          <w:rFonts w:ascii="Times New Roman" w:hAnsi="Times New Roman" w:cs="Times New Roman"/>
          <w:sz w:val="24"/>
          <w:szCs w:val="24"/>
        </w:rPr>
        <w:t xml:space="preserve"> u izvještajnog razdoblj</w:t>
      </w:r>
      <w:r w:rsidR="00657166">
        <w:rPr>
          <w:rFonts w:ascii="Times New Roman" w:hAnsi="Times New Roman" w:cs="Times New Roman"/>
          <w:sz w:val="24"/>
          <w:szCs w:val="24"/>
        </w:rPr>
        <w:t>u ostva</w:t>
      </w:r>
      <w:r w:rsidR="000F2BBF">
        <w:rPr>
          <w:rFonts w:ascii="Times New Roman" w:hAnsi="Times New Roman" w:cs="Times New Roman"/>
          <w:sz w:val="24"/>
          <w:szCs w:val="24"/>
        </w:rPr>
        <w:t>reni su u iznosu od 1.640.737,27</w:t>
      </w:r>
      <w:r w:rsidR="00132370">
        <w:rPr>
          <w:rFonts w:ascii="Times New Roman" w:hAnsi="Times New Roman" w:cs="Times New Roman"/>
          <w:sz w:val="24"/>
          <w:szCs w:val="24"/>
        </w:rPr>
        <w:t xml:space="preserve"> </w:t>
      </w:r>
      <w:r w:rsidR="00657166">
        <w:rPr>
          <w:rFonts w:ascii="Times New Roman" w:hAnsi="Times New Roman" w:cs="Times New Roman"/>
          <w:sz w:val="24"/>
          <w:szCs w:val="24"/>
        </w:rPr>
        <w:t>eura,</w:t>
      </w:r>
      <w:r w:rsidR="009A4E47">
        <w:rPr>
          <w:rFonts w:ascii="Times New Roman" w:hAnsi="Times New Roman" w:cs="Times New Roman"/>
          <w:sz w:val="24"/>
          <w:szCs w:val="24"/>
        </w:rPr>
        <w:t xml:space="preserve"> što predstavlja 103,07</w:t>
      </w:r>
      <w:r w:rsidR="00887FA6">
        <w:rPr>
          <w:rFonts w:ascii="Times New Roman" w:hAnsi="Times New Roman" w:cs="Times New Roman"/>
          <w:sz w:val="24"/>
          <w:szCs w:val="24"/>
        </w:rPr>
        <w:t xml:space="preserve"> % ostvarenja godi</w:t>
      </w:r>
      <w:r w:rsidR="000F2BBF">
        <w:rPr>
          <w:rFonts w:ascii="Times New Roman" w:hAnsi="Times New Roman" w:cs="Times New Roman"/>
          <w:sz w:val="24"/>
          <w:szCs w:val="24"/>
        </w:rPr>
        <w:t>šnjeg financijskog plana za 2025</w:t>
      </w:r>
      <w:r w:rsidR="00887FA6">
        <w:rPr>
          <w:rFonts w:ascii="Times New Roman" w:hAnsi="Times New Roman" w:cs="Times New Roman"/>
          <w:sz w:val="24"/>
          <w:szCs w:val="24"/>
        </w:rPr>
        <w:t>. godinu</w:t>
      </w:r>
      <w:r w:rsidRPr="004E307A">
        <w:rPr>
          <w:rFonts w:ascii="Times New Roman" w:hAnsi="Times New Roman" w:cs="Times New Roman"/>
          <w:sz w:val="24"/>
          <w:szCs w:val="24"/>
        </w:rPr>
        <w:t>;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prihoda od pomo</w:t>
      </w:r>
      <w:r w:rsidR="00657166" w:rsidRPr="00BF3C7B">
        <w:rPr>
          <w:rFonts w:ascii="Times New Roman" w:hAnsi="Times New Roman" w:cs="Times New Roman"/>
          <w:sz w:val="24"/>
          <w:szCs w:val="24"/>
        </w:rPr>
        <w:t xml:space="preserve">ći </w:t>
      </w:r>
      <w:r w:rsidR="00887FA6">
        <w:rPr>
          <w:rFonts w:ascii="Times New Roman" w:hAnsi="Times New Roman" w:cs="Times New Roman"/>
          <w:sz w:val="24"/>
          <w:szCs w:val="24"/>
        </w:rPr>
        <w:t>(s</w:t>
      </w:r>
      <w:r w:rsidR="009A4E47">
        <w:rPr>
          <w:rFonts w:ascii="Times New Roman" w:hAnsi="Times New Roman" w:cs="Times New Roman"/>
          <w:sz w:val="24"/>
          <w:szCs w:val="24"/>
        </w:rPr>
        <w:t>kupina 63) ostvareno je 103,75</w:t>
      </w:r>
      <w:r w:rsidR="00132370">
        <w:rPr>
          <w:rFonts w:ascii="Times New Roman" w:hAnsi="Times New Roman" w:cs="Times New Roman"/>
          <w:sz w:val="24"/>
          <w:szCs w:val="24"/>
        </w:rPr>
        <w:t xml:space="preserve"> %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u odnosu na godišnji financijski plan (čine ga tekuće pomoći proračunskom korisniku iz proračuna koji im nije nadležan – plaće, materijalna prava zaposlenih i ostalo iz državnog proračuna),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prihoda od administrativnih pristojbi i po posebnim propisima (skupin</w:t>
      </w:r>
      <w:r w:rsidR="009A4E47">
        <w:rPr>
          <w:rFonts w:ascii="Times New Roman" w:hAnsi="Times New Roman" w:cs="Times New Roman"/>
          <w:sz w:val="24"/>
          <w:szCs w:val="24"/>
        </w:rPr>
        <w:t>a 65) ostvareno je 93,45</w:t>
      </w:r>
      <w:r w:rsidR="00887FA6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 godišnji financijski plan (prihodi od</w:t>
      </w:r>
      <w:r w:rsidR="00887FA6">
        <w:rPr>
          <w:rFonts w:ascii="Times New Roman" w:hAnsi="Times New Roman" w:cs="Times New Roman"/>
          <w:sz w:val="24"/>
          <w:szCs w:val="24"/>
        </w:rPr>
        <w:t xml:space="preserve"> učenika – upisnine, maturalni ples, duplikati svjedodžbe</w:t>
      </w:r>
      <w:r w:rsidR="0004349B" w:rsidRPr="00BF3C7B">
        <w:rPr>
          <w:rFonts w:ascii="Times New Roman" w:hAnsi="Times New Roman" w:cs="Times New Roman"/>
          <w:sz w:val="24"/>
          <w:szCs w:val="24"/>
        </w:rPr>
        <w:t>)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prihoda od prodaje proizvoda i roba te pruženih usluga i prihoda od donaci</w:t>
      </w:r>
      <w:r w:rsidR="00657166" w:rsidRPr="00BF3C7B">
        <w:rPr>
          <w:rFonts w:ascii="Times New Roman" w:hAnsi="Times New Roman" w:cs="Times New Roman"/>
          <w:sz w:val="24"/>
          <w:szCs w:val="24"/>
        </w:rPr>
        <w:t xml:space="preserve">ja </w:t>
      </w:r>
      <w:r w:rsidR="009A4E47">
        <w:rPr>
          <w:rFonts w:ascii="Times New Roman" w:hAnsi="Times New Roman" w:cs="Times New Roman"/>
          <w:sz w:val="24"/>
          <w:szCs w:val="24"/>
        </w:rPr>
        <w:t>(skupina 66) ostvareno je 96,51</w:t>
      </w:r>
      <w:r w:rsidR="00887FA6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 godišnji financijsk</w:t>
      </w:r>
      <w:r w:rsidR="009A4E47">
        <w:rPr>
          <w:rFonts w:ascii="Times New Roman" w:hAnsi="Times New Roman" w:cs="Times New Roman"/>
          <w:sz w:val="24"/>
          <w:szCs w:val="24"/>
        </w:rPr>
        <w:t>i plan (obrazovanje odraslih i tekuće donacije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za maturalni ples),</w:t>
      </w:r>
    </w:p>
    <w:p w:rsidR="0004349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prihodi iz nadležnog prora</w:t>
      </w:r>
      <w:r w:rsidR="00657166" w:rsidRPr="00BF3C7B">
        <w:rPr>
          <w:rFonts w:ascii="Times New Roman" w:hAnsi="Times New Roman" w:cs="Times New Roman"/>
          <w:sz w:val="24"/>
          <w:szCs w:val="24"/>
        </w:rPr>
        <w:t>čuna (skupina</w:t>
      </w:r>
      <w:r w:rsidR="00132370">
        <w:rPr>
          <w:rFonts w:ascii="Times New Roman" w:hAnsi="Times New Roman" w:cs="Times New Roman"/>
          <w:sz w:val="24"/>
          <w:szCs w:val="24"/>
        </w:rPr>
        <w:t xml:space="preserve"> 67) ostvar</w:t>
      </w:r>
      <w:r w:rsidR="009A4E47">
        <w:rPr>
          <w:rFonts w:ascii="Times New Roman" w:hAnsi="Times New Roman" w:cs="Times New Roman"/>
          <w:sz w:val="24"/>
          <w:szCs w:val="24"/>
        </w:rPr>
        <w:t>eni su 98,59</w:t>
      </w:r>
      <w:r w:rsidR="00887FA6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 godišnji financijski plan. Odnose se na prihode koje škola ostvaruje iz proračuna osnivača, Šibensko-kninske župan</w:t>
      </w:r>
      <w:r w:rsidR="001B3E32">
        <w:rPr>
          <w:rFonts w:ascii="Times New Roman" w:hAnsi="Times New Roman" w:cs="Times New Roman"/>
          <w:sz w:val="24"/>
          <w:szCs w:val="24"/>
        </w:rPr>
        <w:t>ije (decentralizirana sredstva)</w:t>
      </w:r>
      <w:r w:rsidR="00132370">
        <w:rPr>
          <w:rFonts w:ascii="Times New Roman" w:hAnsi="Times New Roman" w:cs="Times New Roman"/>
          <w:sz w:val="24"/>
          <w:szCs w:val="24"/>
        </w:rPr>
        <w:t>,</w:t>
      </w:r>
    </w:p>
    <w:p w:rsidR="0004349B" w:rsidRPr="004E307A" w:rsidRDefault="0004349B" w:rsidP="0004349B">
      <w:pPr>
        <w:spacing w:before="60" w:after="60" w:line="240" w:lineRule="auto"/>
        <w:ind w:left="36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349B" w:rsidRPr="004E307A" w:rsidRDefault="0004349B" w:rsidP="0005528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A6">
        <w:rPr>
          <w:rFonts w:ascii="Times New Roman" w:hAnsi="Times New Roman" w:cs="Times New Roman"/>
          <w:b/>
          <w:sz w:val="24"/>
          <w:szCs w:val="24"/>
        </w:rPr>
        <w:t>Ukupni rashodi</w:t>
      </w:r>
      <w:r w:rsidRPr="004E30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7FA6">
        <w:rPr>
          <w:rFonts w:ascii="Times New Roman" w:hAnsi="Times New Roman" w:cs="Times New Roman"/>
          <w:b/>
          <w:sz w:val="24"/>
          <w:szCs w:val="24"/>
        </w:rPr>
        <w:t>ostvareni</w:t>
      </w:r>
      <w:r w:rsidR="00657166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9A4E47">
        <w:rPr>
          <w:rFonts w:ascii="Times New Roman" w:hAnsi="Times New Roman" w:cs="Times New Roman"/>
          <w:sz w:val="24"/>
          <w:szCs w:val="24"/>
        </w:rPr>
        <w:t>1.766.959,82</w:t>
      </w:r>
      <w:r w:rsidR="00FD090F">
        <w:rPr>
          <w:rFonts w:ascii="Times New Roman" w:hAnsi="Times New Roman" w:cs="Times New Roman"/>
          <w:sz w:val="24"/>
          <w:szCs w:val="24"/>
        </w:rPr>
        <w:t xml:space="preserve"> </w:t>
      </w:r>
      <w:r w:rsidRPr="004E307A">
        <w:rPr>
          <w:rFonts w:ascii="Times New Roman" w:hAnsi="Times New Roman" w:cs="Times New Roman"/>
          <w:sz w:val="24"/>
          <w:szCs w:val="24"/>
        </w:rPr>
        <w:t xml:space="preserve">eura, što predstavlja </w:t>
      </w:r>
      <w:r w:rsidR="009A4E47">
        <w:rPr>
          <w:rFonts w:ascii="Times New Roman" w:hAnsi="Times New Roman" w:cs="Times New Roman"/>
          <w:sz w:val="24"/>
          <w:szCs w:val="24"/>
        </w:rPr>
        <w:t>109,44</w:t>
      </w:r>
      <w:r w:rsidR="00FD090F">
        <w:rPr>
          <w:rFonts w:ascii="Times New Roman" w:hAnsi="Times New Roman" w:cs="Times New Roman"/>
          <w:sz w:val="24"/>
          <w:szCs w:val="24"/>
        </w:rPr>
        <w:t xml:space="preserve"> </w:t>
      </w:r>
      <w:r w:rsidRPr="004E307A">
        <w:rPr>
          <w:rFonts w:ascii="Times New Roman" w:hAnsi="Times New Roman" w:cs="Times New Roman"/>
          <w:sz w:val="24"/>
          <w:szCs w:val="24"/>
        </w:rPr>
        <w:t>% ostvarenja godi</w:t>
      </w:r>
      <w:r w:rsidR="009A4E47">
        <w:rPr>
          <w:rFonts w:ascii="Times New Roman" w:hAnsi="Times New Roman" w:cs="Times New Roman"/>
          <w:sz w:val="24"/>
          <w:szCs w:val="24"/>
        </w:rPr>
        <w:t>šnjeg financijskog plana za 2025</w:t>
      </w:r>
      <w:r w:rsidRPr="004E307A">
        <w:rPr>
          <w:rFonts w:ascii="Times New Roman" w:hAnsi="Times New Roman" w:cs="Times New Roman"/>
          <w:sz w:val="24"/>
          <w:szCs w:val="24"/>
        </w:rPr>
        <w:t>. godinu;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rashoda za zaposlene (konto 31) koji obuhvaćaju bruto plaće, doprinose na plaću i ostale rashod</w:t>
      </w:r>
      <w:r w:rsidR="00657166" w:rsidRPr="00BF3C7B">
        <w:rPr>
          <w:rFonts w:ascii="Times New Roman" w:hAnsi="Times New Roman" w:cs="Times New Roman"/>
          <w:sz w:val="24"/>
          <w:szCs w:val="24"/>
        </w:rPr>
        <w:t>e z</w:t>
      </w:r>
      <w:r w:rsidR="005E7EDA">
        <w:rPr>
          <w:rFonts w:ascii="Times New Roman" w:hAnsi="Times New Roman" w:cs="Times New Roman"/>
          <w:sz w:val="24"/>
          <w:szCs w:val="24"/>
        </w:rPr>
        <w:t>a zaposlene, ostvareno je 110,04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 godišnji financijski plan,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materijalnih rashoda (k</w:t>
      </w:r>
      <w:r w:rsidR="005E7EDA">
        <w:rPr>
          <w:rFonts w:ascii="Times New Roman" w:hAnsi="Times New Roman" w:cs="Times New Roman"/>
          <w:sz w:val="24"/>
          <w:szCs w:val="24"/>
        </w:rPr>
        <w:t>onto 32) realizirano je 93,72</w:t>
      </w:r>
      <w:r w:rsidR="00C32DCE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</w:t>
      </w:r>
      <w:r w:rsidR="00FD090F">
        <w:rPr>
          <w:rFonts w:ascii="Times New Roman" w:hAnsi="Times New Roman" w:cs="Times New Roman"/>
          <w:sz w:val="24"/>
          <w:szCs w:val="24"/>
        </w:rPr>
        <w:t xml:space="preserve"> godišnji financijski plan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ostali rashodi</w:t>
      </w:r>
      <w:r w:rsidR="005E7EDA">
        <w:rPr>
          <w:rFonts w:ascii="Times New Roman" w:hAnsi="Times New Roman" w:cs="Times New Roman"/>
          <w:sz w:val="24"/>
          <w:szCs w:val="24"/>
        </w:rPr>
        <w:t xml:space="preserve"> (konto 38</w:t>
      </w:r>
      <w:r w:rsidR="00C32DCE">
        <w:rPr>
          <w:rFonts w:ascii="Times New Roman" w:hAnsi="Times New Roman" w:cs="Times New Roman"/>
          <w:sz w:val="24"/>
          <w:szCs w:val="24"/>
        </w:rPr>
        <w:t xml:space="preserve">) </w:t>
      </w:r>
      <w:r w:rsidR="0004349B" w:rsidRPr="00BF3C7B">
        <w:rPr>
          <w:rFonts w:ascii="Times New Roman" w:hAnsi="Times New Roman" w:cs="Times New Roman"/>
          <w:sz w:val="24"/>
          <w:szCs w:val="24"/>
        </w:rPr>
        <w:t>-tekuće donacije u naravi odnosi se na opskrbu školskih ustanova besplatnim mens</w:t>
      </w:r>
      <w:r w:rsidR="00C32DCE">
        <w:rPr>
          <w:rFonts w:ascii="Times New Roman" w:hAnsi="Times New Roman" w:cs="Times New Roman"/>
          <w:sz w:val="24"/>
          <w:szCs w:val="24"/>
        </w:rPr>
        <w:t>trualnim potrepštinama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</w:t>
      </w:r>
      <w:r w:rsidR="005E7EDA">
        <w:rPr>
          <w:rFonts w:ascii="Times New Roman" w:hAnsi="Times New Roman" w:cs="Times New Roman"/>
          <w:sz w:val="24"/>
          <w:szCs w:val="24"/>
        </w:rPr>
        <w:t>– ostvareno je 99,87</w:t>
      </w:r>
      <w:r w:rsidR="0004349B" w:rsidRPr="00BF3C7B">
        <w:rPr>
          <w:rFonts w:ascii="Times New Roman" w:hAnsi="Times New Roman" w:cs="Times New Roman"/>
          <w:sz w:val="24"/>
          <w:szCs w:val="24"/>
        </w:rPr>
        <w:t>% u odnosu na plan</w:t>
      </w:r>
    </w:p>
    <w:p w:rsidR="0004349B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49B" w:rsidRPr="00BF3C7B">
        <w:rPr>
          <w:rFonts w:ascii="Times New Roman" w:hAnsi="Times New Roman" w:cs="Times New Roman"/>
          <w:sz w:val="24"/>
          <w:szCs w:val="24"/>
        </w:rPr>
        <w:t>rashoda za nabavku nefinancijske im</w:t>
      </w:r>
      <w:r w:rsidR="00FD090F">
        <w:rPr>
          <w:rFonts w:ascii="Times New Roman" w:hAnsi="Times New Roman" w:cs="Times New Roman"/>
          <w:sz w:val="24"/>
          <w:szCs w:val="24"/>
        </w:rPr>
        <w:t>ovi</w:t>
      </w:r>
      <w:r w:rsidR="005E7EDA">
        <w:rPr>
          <w:rFonts w:ascii="Times New Roman" w:hAnsi="Times New Roman" w:cs="Times New Roman"/>
          <w:sz w:val="24"/>
          <w:szCs w:val="24"/>
        </w:rPr>
        <w:t>ne (konto 42) ostvareno je 195,08</w:t>
      </w:r>
      <w:r w:rsidR="00FD090F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% u odnosu na godišnji financijski plan. Odnosi se na nabavu </w:t>
      </w:r>
      <w:r w:rsidR="00FD090F">
        <w:rPr>
          <w:rFonts w:ascii="Times New Roman" w:hAnsi="Times New Roman" w:cs="Times New Roman"/>
          <w:sz w:val="24"/>
          <w:szCs w:val="24"/>
        </w:rPr>
        <w:t>računalne opreme, ulaganje u računalne programe te nabavu knjiga za knjižnicu.</w:t>
      </w:r>
      <w:r w:rsidR="005E7EDA">
        <w:rPr>
          <w:rFonts w:ascii="Times New Roman" w:hAnsi="Times New Roman" w:cs="Times New Roman"/>
          <w:sz w:val="24"/>
          <w:szCs w:val="24"/>
        </w:rPr>
        <w:t xml:space="preserve"> Znatno odstupanje se odnosi na nabavu računalne </w:t>
      </w:r>
      <w:r w:rsidR="005E7EDA">
        <w:rPr>
          <w:rFonts w:ascii="Times New Roman" w:hAnsi="Times New Roman" w:cs="Times New Roman"/>
          <w:sz w:val="24"/>
          <w:szCs w:val="24"/>
        </w:rPr>
        <w:lastRenderedPageBreak/>
        <w:t>opreme:  nadogradnju postojećeg navigacijskog simulatora koji se nije mogao predvidjeti fin. planom tj. posljednjim rebalansom za 2025.g.</w:t>
      </w:r>
    </w:p>
    <w:p w:rsidR="00215720" w:rsidRDefault="00215720" w:rsidP="000819CC">
      <w:pPr>
        <w:spacing w:before="60" w:after="60" w:line="240" w:lineRule="auto"/>
        <w:ind w:left="426" w:firstLine="282"/>
        <w:jc w:val="both"/>
        <w:rPr>
          <w:rFonts w:ascii="Calibri" w:hAnsi="Calibri" w:cs="Calibri"/>
          <w:b/>
          <w:sz w:val="24"/>
          <w:szCs w:val="24"/>
        </w:rPr>
      </w:pPr>
    </w:p>
    <w:p w:rsidR="000A4839" w:rsidRPr="000955DA" w:rsidRDefault="001775CE" w:rsidP="00FD090F">
      <w:pPr>
        <w:pStyle w:val="Odlomakpopisa"/>
        <w:numPr>
          <w:ilvl w:val="2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DA">
        <w:rPr>
          <w:rFonts w:ascii="Times New Roman" w:hAnsi="Times New Roman" w:cs="Times New Roman"/>
          <w:b/>
          <w:sz w:val="24"/>
          <w:szCs w:val="24"/>
        </w:rPr>
        <w:t>1.2.2.</w:t>
      </w:r>
      <w:r w:rsidR="003F72C3" w:rsidRPr="000955DA">
        <w:rPr>
          <w:rFonts w:ascii="Times New Roman" w:hAnsi="Times New Roman" w:cs="Times New Roman"/>
          <w:b/>
          <w:sz w:val="24"/>
          <w:szCs w:val="24"/>
        </w:rPr>
        <w:t>Izvještaj o prihodima i rashodima prema izvorima financiranja</w:t>
      </w:r>
    </w:p>
    <w:p w:rsidR="0004349B" w:rsidRPr="0004349B" w:rsidRDefault="0004349B" w:rsidP="0004349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9B" w:rsidRDefault="0004349B" w:rsidP="0004349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90F">
        <w:rPr>
          <w:rFonts w:ascii="Times New Roman" w:hAnsi="Times New Roman" w:cs="Times New Roman"/>
          <w:b/>
          <w:sz w:val="24"/>
          <w:szCs w:val="24"/>
        </w:rPr>
        <w:t>Izvještaj o prihodima i rashodima prema izvorima financiranja</w:t>
      </w:r>
      <w:r w:rsidRPr="0004349B">
        <w:rPr>
          <w:rFonts w:ascii="Times New Roman" w:hAnsi="Times New Roman" w:cs="Times New Roman"/>
          <w:sz w:val="24"/>
          <w:szCs w:val="24"/>
        </w:rPr>
        <w:t xml:space="preserve"> sadrži prikaz prihoda i rashoda  prema izvorima financiranja iskazanih na razini razreda i skupine sukladno Pravilniku o proračunskim klasifikacijama. Odnosi se na:</w:t>
      </w:r>
    </w:p>
    <w:p w:rsidR="000955DA" w:rsidRDefault="000955DA" w:rsidP="0004349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5DA" w:rsidRPr="0004349B" w:rsidRDefault="000955DA" w:rsidP="0004349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9B" w:rsidRPr="00C32DCE" w:rsidRDefault="0004349B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1.</w:t>
      </w:r>
      <w:r w:rsidR="005E7EDA">
        <w:rPr>
          <w:rFonts w:ascii="Times New Roman" w:hAnsi="Times New Roman" w:cs="Times New Roman"/>
          <w:sz w:val="24"/>
          <w:szCs w:val="24"/>
        </w:rPr>
        <w:t xml:space="preserve"> </w:t>
      </w:r>
      <w:r w:rsidRPr="00C32DCE">
        <w:rPr>
          <w:rFonts w:ascii="Times New Roman" w:hAnsi="Times New Roman" w:cs="Times New Roman"/>
          <w:sz w:val="24"/>
          <w:szCs w:val="24"/>
        </w:rPr>
        <w:t>OPĆI PRIHODI I PRIMICI ŠKŽ</w:t>
      </w:r>
    </w:p>
    <w:p w:rsidR="00285BF9" w:rsidRPr="00C32DCE" w:rsidRDefault="00285BF9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2. DECENTRALIZIRANA SREDSTVA</w:t>
      </w:r>
    </w:p>
    <w:p w:rsidR="0004349B" w:rsidRPr="00C32DCE" w:rsidRDefault="00F7332F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3</w:t>
      </w:r>
      <w:r w:rsidR="0004349B" w:rsidRPr="00C32DCE">
        <w:rPr>
          <w:rFonts w:ascii="Times New Roman" w:hAnsi="Times New Roman" w:cs="Times New Roman"/>
          <w:sz w:val="24"/>
          <w:szCs w:val="24"/>
        </w:rPr>
        <w:t>.</w:t>
      </w:r>
      <w:r w:rsidR="005E7EDA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C32DCE">
        <w:rPr>
          <w:rFonts w:ascii="Times New Roman" w:hAnsi="Times New Roman" w:cs="Times New Roman"/>
          <w:sz w:val="24"/>
          <w:szCs w:val="24"/>
        </w:rPr>
        <w:t>VLASTITI PRIHODI</w:t>
      </w:r>
    </w:p>
    <w:p w:rsidR="0004349B" w:rsidRPr="00C32DCE" w:rsidRDefault="00F7332F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4</w:t>
      </w:r>
      <w:r w:rsidR="0004349B" w:rsidRPr="00C32DCE">
        <w:rPr>
          <w:rFonts w:ascii="Times New Roman" w:hAnsi="Times New Roman" w:cs="Times New Roman"/>
          <w:sz w:val="24"/>
          <w:szCs w:val="24"/>
        </w:rPr>
        <w:t>.</w:t>
      </w:r>
      <w:r w:rsidR="005E7EDA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C32DCE">
        <w:rPr>
          <w:rFonts w:ascii="Times New Roman" w:hAnsi="Times New Roman" w:cs="Times New Roman"/>
          <w:sz w:val="24"/>
          <w:szCs w:val="24"/>
        </w:rPr>
        <w:t>OSTALE PRIHODE  ZA POSEBNE  NAMJENE</w:t>
      </w:r>
    </w:p>
    <w:p w:rsidR="0004349B" w:rsidRPr="00C32DCE" w:rsidRDefault="00F7332F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5</w:t>
      </w:r>
      <w:r w:rsidR="0004349B" w:rsidRPr="00C32DCE">
        <w:rPr>
          <w:rFonts w:ascii="Times New Roman" w:hAnsi="Times New Roman" w:cs="Times New Roman"/>
          <w:sz w:val="24"/>
          <w:szCs w:val="24"/>
        </w:rPr>
        <w:t>.</w:t>
      </w:r>
      <w:r w:rsidR="005E7EDA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C32DCE">
        <w:rPr>
          <w:rFonts w:ascii="Times New Roman" w:hAnsi="Times New Roman" w:cs="Times New Roman"/>
          <w:sz w:val="24"/>
          <w:szCs w:val="24"/>
        </w:rPr>
        <w:t>POMOĆI</w:t>
      </w:r>
    </w:p>
    <w:p w:rsidR="0004349B" w:rsidRPr="00C32DCE" w:rsidRDefault="00F7332F" w:rsidP="00285BF9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DCE">
        <w:rPr>
          <w:rFonts w:ascii="Times New Roman" w:hAnsi="Times New Roman" w:cs="Times New Roman"/>
          <w:sz w:val="24"/>
          <w:szCs w:val="24"/>
        </w:rPr>
        <w:t>6</w:t>
      </w:r>
      <w:r w:rsidR="0004349B" w:rsidRPr="00C32DCE">
        <w:rPr>
          <w:rFonts w:ascii="Times New Roman" w:hAnsi="Times New Roman" w:cs="Times New Roman"/>
          <w:sz w:val="24"/>
          <w:szCs w:val="24"/>
        </w:rPr>
        <w:t>.</w:t>
      </w:r>
      <w:r w:rsidR="005E7EDA">
        <w:rPr>
          <w:rFonts w:ascii="Times New Roman" w:hAnsi="Times New Roman" w:cs="Times New Roman"/>
          <w:sz w:val="24"/>
          <w:szCs w:val="24"/>
        </w:rPr>
        <w:t xml:space="preserve"> </w:t>
      </w:r>
      <w:r w:rsidR="0004349B" w:rsidRPr="00C32DCE">
        <w:rPr>
          <w:rFonts w:ascii="Times New Roman" w:hAnsi="Times New Roman" w:cs="Times New Roman"/>
          <w:sz w:val="24"/>
          <w:szCs w:val="24"/>
        </w:rPr>
        <w:t>DONACIJE</w:t>
      </w:r>
    </w:p>
    <w:p w:rsidR="000955DA" w:rsidRPr="002410D0" w:rsidRDefault="000955DA" w:rsidP="002410D0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6191E" w:rsidRDefault="0066191E" w:rsidP="0066191E">
      <w:pPr>
        <w:spacing w:line="22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66191E" w:rsidTr="0066191E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66191E" w:rsidTr="0066191E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1.531.894,75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1.591.845,00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1.640.737,27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107,11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103,07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2.221,60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2.221,60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136.853,24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147.686,00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145.602,48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106,39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98,59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4.641,29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2.539,00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2.305,02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49,66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90,78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SREDSTVA ZA FINANCIRANJE DECENTRALIZIRANIH FUNKCIJA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125.151,89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127.798,00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127.416,42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101,81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99,70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PREDFINANCIRANJE EU PROJEKATA IZ SR.ŠKŽ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7.060,06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17.349,00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15.881,04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224,94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91,54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33.788,81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5.375,16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76,79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33.788,81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5.375,16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76,79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17.055,83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19.625,50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115,07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93,45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17.055,83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21.000,00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19.625,50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115,07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93,45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1.337.828,27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1.409.175,00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1.462.013,13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109,28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103,75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POMOĆI EU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1.337.828,27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1.409.175,00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1.462.013,13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109,28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103,75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4.147,00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6.984,00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8.121,00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195,83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116,28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A216F7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4.147,00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6.984,00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8.121,00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195,83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116,28</w:t>
            </w:r>
          </w:p>
        </w:tc>
      </w:tr>
      <w:tr w:rsidR="0066191E" w:rsidTr="0066191E">
        <w:trPr>
          <w:trHeight w:val="315"/>
        </w:trPr>
        <w:tc>
          <w:tcPr>
            <w:tcW w:w="10050" w:type="dxa"/>
            <w:gridSpan w:val="7"/>
            <w:shd w:val="clear" w:color="auto" w:fill="auto"/>
            <w:vAlign w:val="center"/>
          </w:tcPr>
          <w:p w:rsidR="0066191E" w:rsidRDefault="0066191E" w:rsidP="0066191E">
            <w:pPr>
              <w:pStyle w:val="ParagraphStyle1"/>
              <w:rPr>
                <w:rStyle w:val="CharacterStyle1"/>
              </w:rPr>
            </w:pPr>
          </w:p>
        </w:tc>
      </w:tr>
    </w:tbl>
    <w:p w:rsidR="0066191E" w:rsidRDefault="0066191E" w:rsidP="0066191E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66191E" w:rsidTr="0066191E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66191E" w:rsidRDefault="0066191E" w:rsidP="0066191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66191E" w:rsidTr="0066191E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5E7EDA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1.527.763,23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1.614.553,00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1.766.959,82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115,66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109,44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136.936,50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147.686,00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152.371,02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111,27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103,17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4.641,29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2.539,00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2.305,02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49,66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90,78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SREDSTVA ZA FINANCIRANJE DECENTRALIZIRANIH FUNKCIJA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125.235,15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127.798,00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132.843,80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106,08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103,95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PREDFINANCIRANJE EU PROJEKATA IZ SR.ŠKŽ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7.060,06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17.349,00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17.222,20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243,94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99,27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27.592,25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15.018,00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5.506,25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19,96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36,66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27.592,25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15.018,00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5.506,25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19,96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36,66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15.702,15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29.584,00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19.236,74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122,51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65,02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15.702,15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29.584,00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19.236,74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122,51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65,02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1.339.514,70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1.413.566,00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1.581.609,90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118,07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111,89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POMOĆI EU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1.339.164,70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1.412.706,00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1.581.609,90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118,10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111,96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6.793,94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7.701,00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7.238,00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106,54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93,99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6.793,94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7.701,00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7.238,00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106,54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93,99</w:t>
            </w:r>
          </w:p>
        </w:tc>
      </w:tr>
      <w:tr w:rsidR="0066191E" w:rsidTr="0066191E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PRIHODI OD PRODAJE NEFINANCIJSKE IMOVINE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1.223,69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997,91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81,55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99,99</w:t>
            </w:r>
          </w:p>
        </w:tc>
      </w:tr>
      <w:tr w:rsidR="0066191E" w:rsidTr="0066191E">
        <w:trPr>
          <w:trHeight w:val="85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0F2BBF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PRIHODI OD PRODAJE ILI ZAMJENE NEFINANCIJSKE IMOVINE I NAKNADE S NASLOVA OSIGURANJA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1.223,69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997,91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81,55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91E" w:rsidRDefault="0066191E" w:rsidP="0066191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99,99</w:t>
            </w:r>
          </w:p>
        </w:tc>
      </w:tr>
    </w:tbl>
    <w:p w:rsidR="0066191E" w:rsidRDefault="0066191E" w:rsidP="0066191E"/>
    <w:p w:rsidR="009F28B3" w:rsidRDefault="009F28B3" w:rsidP="002410D0">
      <w:pPr>
        <w:spacing w:before="60" w:after="60"/>
        <w:rPr>
          <w:rFonts w:ascii="Calibri" w:hAnsi="Calibri" w:cs="Calibri"/>
          <w:b/>
          <w:sz w:val="24"/>
          <w:szCs w:val="24"/>
        </w:rPr>
      </w:pPr>
    </w:p>
    <w:p w:rsidR="00C32DCE" w:rsidRDefault="00C32DCE" w:rsidP="002410D0">
      <w:pPr>
        <w:spacing w:before="60" w:after="60"/>
        <w:rPr>
          <w:rFonts w:ascii="Calibri" w:hAnsi="Calibri" w:cs="Calibri"/>
          <w:b/>
          <w:sz w:val="24"/>
          <w:szCs w:val="24"/>
        </w:rPr>
      </w:pPr>
    </w:p>
    <w:p w:rsidR="00C32DCE" w:rsidRDefault="00C32DCE" w:rsidP="002410D0">
      <w:pPr>
        <w:spacing w:before="60" w:after="60"/>
        <w:rPr>
          <w:rFonts w:ascii="Calibri" w:hAnsi="Calibri" w:cs="Calibri"/>
          <w:b/>
          <w:sz w:val="24"/>
          <w:szCs w:val="24"/>
        </w:rPr>
      </w:pPr>
    </w:p>
    <w:p w:rsidR="00C32DCE" w:rsidRDefault="00C32DCE" w:rsidP="002410D0">
      <w:pPr>
        <w:spacing w:before="60" w:after="60"/>
        <w:rPr>
          <w:rFonts w:ascii="Calibri" w:hAnsi="Calibri" w:cs="Calibri"/>
          <w:b/>
          <w:sz w:val="24"/>
          <w:szCs w:val="24"/>
        </w:rPr>
      </w:pPr>
    </w:p>
    <w:p w:rsidR="00A059BC" w:rsidRDefault="00A059BC" w:rsidP="002410D0">
      <w:pPr>
        <w:spacing w:before="60" w:after="60"/>
        <w:rPr>
          <w:rFonts w:ascii="Calibri" w:hAnsi="Calibri" w:cs="Calibri"/>
          <w:b/>
          <w:sz w:val="24"/>
          <w:szCs w:val="24"/>
        </w:rPr>
      </w:pPr>
    </w:p>
    <w:p w:rsidR="000955DA" w:rsidRDefault="000955DA" w:rsidP="0004349B">
      <w:pPr>
        <w:pStyle w:val="Odlomakpopisa"/>
        <w:numPr>
          <w:ilvl w:val="2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5DA" w:rsidRDefault="000955DA" w:rsidP="0004349B">
      <w:pPr>
        <w:pStyle w:val="Odlomakpopisa"/>
        <w:numPr>
          <w:ilvl w:val="2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2C3" w:rsidRPr="000955DA" w:rsidRDefault="000955DA" w:rsidP="0004349B">
      <w:pPr>
        <w:pStyle w:val="Odlomakpopisa"/>
        <w:numPr>
          <w:ilvl w:val="2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DA">
        <w:rPr>
          <w:rFonts w:ascii="Times New Roman" w:hAnsi="Times New Roman" w:cs="Times New Roman"/>
          <w:b/>
          <w:sz w:val="24"/>
          <w:szCs w:val="24"/>
        </w:rPr>
        <w:t>1.2.3.</w:t>
      </w:r>
      <w:r w:rsidR="003F72C3" w:rsidRPr="000955DA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:rsidR="00BF3C7B" w:rsidRPr="0090357D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4349B" w:rsidRPr="00BF3C7B" w:rsidRDefault="0004349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90F">
        <w:rPr>
          <w:rFonts w:ascii="Times New Roman" w:hAnsi="Times New Roman" w:cs="Times New Roman"/>
          <w:b/>
          <w:sz w:val="24"/>
          <w:szCs w:val="24"/>
        </w:rPr>
        <w:t>Izvještaj  o rashodima prema funkcijskoj klasifikaciji</w:t>
      </w:r>
      <w:r w:rsidRPr="00BF3C7B">
        <w:rPr>
          <w:rFonts w:ascii="Times New Roman" w:hAnsi="Times New Roman" w:cs="Times New Roman"/>
          <w:sz w:val="24"/>
          <w:szCs w:val="24"/>
        </w:rPr>
        <w:t xml:space="preserve"> sadrži prikaz rashoda prema funkcijskoj klasifikaciji, a podaci se iskazuju na razini razreda i skupine funkcijske klasifikacije. Funkcijska klasifikacija je prikaz rashoda  proračunskih korisnika razvrstan prema njegovoj namjeni SKUPINA 092 - srednjoškolsko obrazovanje.</w:t>
      </w:r>
    </w:p>
    <w:p w:rsidR="0004349B" w:rsidRDefault="000F2BBF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za 2025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godinu u odnosu na rebalans financij</w:t>
      </w:r>
      <w:r w:rsidR="00905A7E" w:rsidRPr="00BF3C7B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og plana za 2025.g. iznosi 115,66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%, a u</w:t>
      </w:r>
      <w:r w:rsidR="00905A7E" w:rsidRPr="00BF3C7B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nosu na izvršenje 2024.g. 109,44</w:t>
      </w:r>
      <w:r w:rsidR="0004349B" w:rsidRPr="00BF3C7B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92D24" w:rsidRDefault="00792D24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140" w:rsidRDefault="00EE7140" w:rsidP="00EE7140">
      <w:pPr>
        <w:spacing w:line="255" w:lineRule="exact"/>
      </w:pPr>
    </w:p>
    <w:tbl>
      <w:tblPr>
        <w:tblW w:w="9988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1725"/>
        <w:gridCol w:w="1740"/>
        <w:gridCol w:w="1725"/>
        <w:gridCol w:w="720"/>
        <w:gridCol w:w="720"/>
      </w:tblGrid>
      <w:tr w:rsidR="000F2BBF" w:rsidTr="000F2BBF">
        <w:trPr>
          <w:trHeight w:val="645"/>
        </w:trPr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F2BBF" w:rsidRDefault="000F2BBF" w:rsidP="0085296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0F2BBF" w:rsidTr="000F2BBF">
        <w:trPr>
          <w:trHeight w:val="225"/>
        </w:trPr>
        <w:tc>
          <w:tcPr>
            <w:tcW w:w="3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0F2BBF" w:rsidTr="000F2BBF">
        <w:trPr>
          <w:trHeight w:val="360"/>
        </w:trPr>
        <w:tc>
          <w:tcPr>
            <w:tcW w:w="3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5"/>
              <w:jc w:val="left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1.527.763,23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1.614.553,00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1.766.959,82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115,66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109,44</w:t>
            </w:r>
          </w:p>
        </w:tc>
      </w:tr>
      <w:tr w:rsidR="000F2BBF" w:rsidTr="000F2BBF">
        <w:trPr>
          <w:trHeight w:val="375"/>
        </w:trPr>
        <w:tc>
          <w:tcPr>
            <w:tcW w:w="3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5"/>
              <w:jc w:val="left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1.527.763,23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1.614.553,00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1.766.959,82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115,66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85296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109,44</w:t>
            </w:r>
          </w:p>
        </w:tc>
      </w:tr>
      <w:tr w:rsidR="000F2BBF" w:rsidTr="000F2BBF">
        <w:trPr>
          <w:trHeight w:val="360"/>
        </w:trPr>
        <w:tc>
          <w:tcPr>
            <w:tcW w:w="3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092 Srednjoškolsko 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8"/>
              <w:jc w:val="right"/>
              <w:rPr>
                <w:rStyle w:val="CharacterStyle8"/>
              </w:rPr>
            </w:pPr>
            <w:r>
              <w:rPr>
                <w:rStyle w:val="CharacterStyle8"/>
              </w:rPr>
              <w:t>1.527.763,23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9"/>
              <w:jc w:val="right"/>
              <w:rPr>
                <w:rStyle w:val="CharacterStyle9"/>
              </w:rPr>
            </w:pPr>
            <w:r>
              <w:rPr>
                <w:rStyle w:val="CharacterStyle9"/>
              </w:rPr>
              <w:t>1.614.553,00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9"/>
              <w:jc w:val="right"/>
              <w:rPr>
                <w:rStyle w:val="CharacterStyle9"/>
              </w:rPr>
            </w:pPr>
            <w:r>
              <w:rPr>
                <w:rStyle w:val="CharacterStyle9"/>
              </w:rPr>
              <w:t>1.766.959,82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9"/>
              <w:jc w:val="right"/>
              <w:rPr>
                <w:rStyle w:val="CharacterStyle9"/>
              </w:rPr>
            </w:pPr>
            <w:r>
              <w:rPr>
                <w:rStyle w:val="CharacterStyle9"/>
              </w:rPr>
              <w:t>115,66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BBF" w:rsidRDefault="000F2BBF" w:rsidP="000F2BBF">
            <w:pPr>
              <w:pStyle w:val="ParagraphStyle9"/>
              <w:jc w:val="right"/>
              <w:rPr>
                <w:rStyle w:val="CharacterStyle9"/>
              </w:rPr>
            </w:pPr>
            <w:r>
              <w:rPr>
                <w:rStyle w:val="CharacterStyle9"/>
              </w:rPr>
              <w:t>109,44</w:t>
            </w:r>
          </w:p>
        </w:tc>
      </w:tr>
    </w:tbl>
    <w:p w:rsidR="00EE7140" w:rsidRDefault="00EE7140" w:rsidP="00EE7140"/>
    <w:p w:rsidR="0004349B" w:rsidRDefault="0004349B" w:rsidP="0004349B">
      <w:pPr>
        <w:pStyle w:val="Odlomakpopisa"/>
        <w:spacing w:before="60" w:after="6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04349B" w:rsidRPr="00BF3C7B" w:rsidRDefault="0004349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7B">
        <w:rPr>
          <w:rFonts w:ascii="Times New Roman" w:hAnsi="Times New Roman" w:cs="Times New Roman"/>
          <w:b/>
          <w:sz w:val="24"/>
          <w:szCs w:val="24"/>
        </w:rPr>
        <w:t>Tablica preneseni višak/manjak</w:t>
      </w:r>
      <w:r w:rsidRPr="00BF3C7B">
        <w:rPr>
          <w:rFonts w:ascii="Times New Roman" w:hAnsi="Times New Roman" w:cs="Times New Roman"/>
          <w:sz w:val="24"/>
          <w:szCs w:val="24"/>
        </w:rPr>
        <w:t xml:space="preserve"> odnosi se na preneseni višak koji je iskorišten/ostvaren u tekućoj godini. </w:t>
      </w:r>
    </w:p>
    <w:p w:rsidR="0004349B" w:rsidRDefault="0004349B" w:rsidP="0004349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9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286"/>
        <w:gridCol w:w="2503"/>
        <w:gridCol w:w="1634"/>
        <w:gridCol w:w="1620"/>
        <w:gridCol w:w="676"/>
        <w:gridCol w:w="676"/>
      </w:tblGrid>
      <w:tr w:rsidR="00A94E08" w:rsidTr="00A94E08">
        <w:trPr>
          <w:trHeight w:val="220"/>
        </w:trPr>
        <w:tc>
          <w:tcPr>
            <w:tcW w:w="9944" w:type="dxa"/>
            <w:gridSpan w:val="7"/>
            <w:shd w:val="clear" w:color="auto" w:fill="auto"/>
            <w:vAlign w:val="center"/>
          </w:tcPr>
          <w:p w:rsidR="00A94E08" w:rsidRPr="00A94E08" w:rsidRDefault="00A94E08" w:rsidP="00A94E08">
            <w:pPr>
              <w:rPr>
                <w:rStyle w:val="CharacterStyle1"/>
                <w:sz w:val="20"/>
                <w:szCs w:val="20"/>
                <w:lang w:eastAsia="hr-HR"/>
              </w:rPr>
            </w:pPr>
          </w:p>
        </w:tc>
      </w:tr>
      <w:tr w:rsidR="00A94E08" w:rsidTr="00A94E08">
        <w:trPr>
          <w:trHeight w:val="605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94E08" w:rsidRDefault="00A94E08" w:rsidP="00054A4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A94E08" w:rsidTr="00A94E08">
        <w:trPr>
          <w:trHeight w:val="206"/>
        </w:trPr>
        <w:tc>
          <w:tcPr>
            <w:tcW w:w="28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2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A94E08" w:rsidTr="00A94E08">
        <w:trPr>
          <w:trHeight w:val="330"/>
        </w:trPr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A94E08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22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A94E08">
            <w:pPr>
              <w:pStyle w:val="ParagraphStyle7"/>
              <w:jc w:val="left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2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069D1" w:rsidP="000069D1">
            <w:pPr>
              <w:pStyle w:val="ParagraphStyle8"/>
              <w:ind w:left="0"/>
              <w:rPr>
                <w:rStyle w:val="CharacterStyle8"/>
              </w:rPr>
            </w:pPr>
            <w:r>
              <w:rPr>
                <w:rStyle w:val="CharacterStyle8"/>
              </w:rPr>
              <w:t>23.042,12</w:t>
            </w:r>
          </w:p>
        </w:tc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196E93" w:rsidP="00054A4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22.708,00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A94E0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17.003,13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A94E0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73,79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A94E0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74,88</w:t>
            </w:r>
          </w:p>
        </w:tc>
      </w:tr>
      <w:tr w:rsidR="00A94E08" w:rsidTr="00A94E08">
        <w:trPr>
          <w:trHeight w:val="330"/>
        </w:trPr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A94E08">
            <w:pPr>
              <w:pStyle w:val="ParagraphStyle6"/>
              <w:jc w:val="left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22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A94E0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2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069D1" w:rsidP="000069D1">
            <w:pPr>
              <w:pStyle w:val="ParagraphStyle8"/>
              <w:ind w:left="0"/>
              <w:rPr>
                <w:rStyle w:val="CharacterStyle8"/>
              </w:rPr>
            </w:pPr>
            <w:r>
              <w:rPr>
                <w:rStyle w:val="CharacterStyle8"/>
              </w:rPr>
              <w:t>23.042,12</w:t>
            </w:r>
          </w:p>
        </w:tc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069D1" w:rsidP="00054A4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22.708,00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A94E08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8"/>
              </w:rPr>
              <w:t>17.003,13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C3D27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73,79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A94E08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74,88</w:t>
            </w:r>
          </w:p>
        </w:tc>
      </w:tr>
      <w:tr w:rsidR="00A94E08" w:rsidTr="00A94E08">
        <w:trPr>
          <w:trHeight w:val="330"/>
        </w:trPr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22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2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069D1" w:rsidP="000069D1">
            <w:pPr>
              <w:pStyle w:val="ParagraphStyle13"/>
              <w:ind w:left="0"/>
              <w:jc w:val="left"/>
              <w:rPr>
                <w:rStyle w:val="CharacterStyle13"/>
              </w:rPr>
            </w:pPr>
            <w:r>
              <w:rPr>
                <w:rStyle w:val="CharacterStyle8"/>
              </w:rPr>
              <w:t>23.042,12</w:t>
            </w:r>
          </w:p>
        </w:tc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196E93" w:rsidP="00196E93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8"/>
              </w:rPr>
              <w:t>22.708,00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54A4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8"/>
              </w:rPr>
              <w:t>17.003,13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54A4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73,79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7D798D">
            <w:pPr>
              <w:pStyle w:val="ParagraphStyle10"/>
              <w:jc w:val="left"/>
              <w:rPr>
                <w:rStyle w:val="CharacterStyle10"/>
              </w:rPr>
            </w:pPr>
            <w:r>
              <w:rPr>
                <w:rStyle w:val="CharacterStyle10"/>
              </w:rPr>
              <w:t>74,88</w:t>
            </w:r>
          </w:p>
        </w:tc>
      </w:tr>
      <w:tr w:rsidR="00A94E08" w:rsidTr="00A94E08">
        <w:trPr>
          <w:trHeight w:val="330"/>
        </w:trPr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9221</w:t>
            </w:r>
          </w:p>
        </w:tc>
        <w:tc>
          <w:tcPr>
            <w:tcW w:w="22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A94E08" w:rsidP="00054A4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Višak prihoda i primitaka</w:t>
            </w:r>
          </w:p>
        </w:tc>
        <w:tc>
          <w:tcPr>
            <w:tcW w:w="2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069D1" w:rsidP="000069D1">
            <w:pPr>
              <w:pStyle w:val="ParagraphStyle13"/>
              <w:ind w:left="0"/>
              <w:jc w:val="left"/>
              <w:rPr>
                <w:rStyle w:val="CharacterStyle13"/>
              </w:rPr>
            </w:pPr>
            <w:r>
              <w:rPr>
                <w:rStyle w:val="CharacterStyle8"/>
              </w:rPr>
              <w:t>23.042,12</w:t>
            </w:r>
          </w:p>
        </w:tc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196E93" w:rsidP="00196E93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8"/>
              </w:rPr>
              <w:t>22.708,00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54A4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8"/>
              </w:rPr>
              <w:t>17.003,13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54A4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73,79</w:t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E08" w:rsidRDefault="000C3D27" w:rsidP="00054A4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74,88</w:t>
            </w:r>
          </w:p>
        </w:tc>
      </w:tr>
      <w:tr w:rsidR="00A94E08" w:rsidRPr="00A94E08" w:rsidTr="00A94E08">
        <w:trPr>
          <w:trHeight w:val="220"/>
        </w:trPr>
        <w:tc>
          <w:tcPr>
            <w:tcW w:w="9944" w:type="dxa"/>
            <w:gridSpan w:val="7"/>
            <w:shd w:val="clear" w:color="auto" w:fill="auto"/>
            <w:vAlign w:val="center"/>
          </w:tcPr>
          <w:p w:rsidR="00A94E08" w:rsidRPr="00A94E08" w:rsidRDefault="00A94E08" w:rsidP="00A94E0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04349B" w:rsidRDefault="0004349B" w:rsidP="0004349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C1F" w:rsidRPr="007D798D" w:rsidRDefault="00103AB9" w:rsidP="0004349B">
      <w:pPr>
        <w:pStyle w:val="Odlomakpopisa"/>
        <w:numPr>
          <w:ilvl w:val="1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Utrošeni v</w:t>
      </w:r>
      <w:r w:rsidR="007D798D">
        <w:rPr>
          <w:rFonts w:ascii="Times New Roman" w:hAnsi="Times New Roman" w:cs="Times New Roman"/>
          <w:sz w:val="24"/>
          <w:szCs w:val="24"/>
        </w:rPr>
        <w:t>išak prihoda i pri</w:t>
      </w:r>
      <w:r w:rsidR="007D798D" w:rsidRPr="007D798D">
        <w:rPr>
          <w:rFonts w:ascii="Times New Roman" w:hAnsi="Times New Roman" w:cs="Times New Roman"/>
          <w:sz w:val="24"/>
          <w:szCs w:val="24"/>
        </w:rPr>
        <w:t>mitaka</w:t>
      </w:r>
      <w:r w:rsidR="007D7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2025.g.iznosi 17.003,13 eura.</w:t>
      </w:r>
    </w:p>
    <w:p w:rsidR="007D798D" w:rsidRDefault="007D798D" w:rsidP="0004349B">
      <w:pPr>
        <w:pStyle w:val="Odlomakpopisa"/>
        <w:numPr>
          <w:ilvl w:val="1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839" w:rsidRPr="004E307A" w:rsidRDefault="000A4839" w:rsidP="0004349B">
      <w:pPr>
        <w:pStyle w:val="Odlomakpopisa"/>
        <w:numPr>
          <w:ilvl w:val="1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:rsidR="0004349B" w:rsidRDefault="00FA07B2" w:rsidP="00F7332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Prometno-tehnička škola Šibenik </w:t>
      </w:r>
      <w:r w:rsidR="00D838B3" w:rsidRPr="004E307A">
        <w:rPr>
          <w:rFonts w:ascii="Times New Roman" w:hAnsi="Times New Roman" w:cs="Times New Roman"/>
          <w:sz w:val="24"/>
          <w:szCs w:val="24"/>
        </w:rPr>
        <w:t xml:space="preserve">nije se zaduživala u </w:t>
      </w:r>
      <w:r w:rsidR="00BA3B61" w:rsidRPr="004E307A">
        <w:rPr>
          <w:rFonts w:ascii="Times New Roman" w:hAnsi="Times New Roman" w:cs="Times New Roman"/>
          <w:sz w:val="24"/>
          <w:szCs w:val="24"/>
        </w:rPr>
        <w:t>izvještajnom razdoblju.</w:t>
      </w:r>
    </w:p>
    <w:p w:rsidR="0004349B" w:rsidRPr="004E307A" w:rsidRDefault="0004349B" w:rsidP="00D838B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5DA" w:rsidRDefault="000955DA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5DA" w:rsidRDefault="000955DA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5DA" w:rsidRDefault="000955DA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DCE" w:rsidRDefault="00C32DCE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DCE" w:rsidRDefault="00C32DCE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2C3" w:rsidRPr="00BF3C7B" w:rsidRDefault="003F72C3" w:rsidP="00BF3C7B">
      <w:pPr>
        <w:pStyle w:val="Odlomakpopisa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7B">
        <w:rPr>
          <w:rFonts w:ascii="Times New Roman" w:hAnsi="Times New Roman" w:cs="Times New Roman"/>
          <w:b/>
          <w:sz w:val="24"/>
          <w:szCs w:val="24"/>
        </w:rPr>
        <w:t>POSEBNI DIO:</w:t>
      </w:r>
    </w:p>
    <w:p w:rsidR="00F553B0" w:rsidRPr="00F553B0" w:rsidRDefault="00F553B0" w:rsidP="00F553B0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8B3" w:rsidRPr="0004349B" w:rsidRDefault="009F28B3" w:rsidP="0004349B">
      <w:pPr>
        <w:pStyle w:val="Odlomakpopisa"/>
        <w:numPr>
          <w:ilvl w:val="1"/>
          <w:numId w:val="0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49B">
        <w:rPr>
          <w:rFonts w:ascii="Times New Roman" w:hAnsi="Times New Roman" w:cs="Times New Roman"/>
          <w:b/>
          <w:sz w:val="24"/>
          <w:szCs w:val="24"/>
        </w:rPr>
        <w:t>Izvještaj po programskoj klasifikaciji</w:t>
      </w:r>
    </w:p>
    <w:p w:rsid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C34" w:rsidRPr="004E307A" w:rsidRDefault="00F47120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07A">
        <w:rPr>
          <w:rFonts w:ascii="Times New Roman" w:hAnsi="Times New Roman" w:cs="Times New Roman"/>
          <w:sz w:val="24"/>
          <w:szCs w:val="24"/>
        </w:rPr>
        <w:t>Izvještaj po programskoj klasifikaciji sadrži prikaz rashoda i izdataka iskazanih po izvorima financiranja i ekonomskoj klasifikaciji, raspoređenih u programe koji se sastoje od aktivnosti i projekata.</w:t>
      </w:r>
      <w:r w:rsidR="002F5B0B">
        <w:rPr>
          <w:rFonts w:ascii="Times New Roman" w:hAnsi="Times New Roman" w:cs="Times New Roman"/>
          <w:sz w:val="24"/>
          <w:szCs w:val="24"/>
        </w:rPr>
        <w:t xml:space="preserve"> Izvori financiranja iskazuju se u okviru svake aktivnosti i projekta i zbrojno na razini proračunskog korisnika na kojem se financijski plan planira odnosno izvršava.</w:t>
      </w:r>
    </w:p>
    <w:p w:rsid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5DED" w:rsidRDefault="00D75DED" w:rsidP="00D75DED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5DED" w:rsidRDefault="00D75DED" w:rsidP="00D75DED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5DED" w:rsidRDefault="00D75DED" w:rsidP="00D75DE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5DED" w:rsidRDefault="00D75DED" w:rsidP="00D75DE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5DED" w:rsidRDefault="00D75DED" w:rsidP="00D75DED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D75DED" w:rsidTr="00D75DED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D75DED" w:rsidTr="00D75DED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1.614.553,00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1.766.959,82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109,44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30003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G- SREDNJE ŠKOLE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215.760,00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225.492,23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104,51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147.686,00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152.371,02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103,17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15.018,00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5.506,25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36,66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29.584,00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19.236,74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65,02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14.773,00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40.142,31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271,73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7.701,00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7.238,00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93,99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od prodaje nefinancijske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997,91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1007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OSNOVNO I SREDNJEŠKOLSKO OBRAZOVANJE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215.760,00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225.492,23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104,51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A1007-10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SREDNJEŠKOLSKO OBRAZOVANJE - STANDARD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91.023,00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96.523,71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106,04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91.023,00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96.523,71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106,04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91.003,00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96.523,71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106,07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6.988,33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25.906,72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2.014,98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5.863,95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14.285,57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2.367,70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1.200,57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411,87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3.700,77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3.946,23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10.675,71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10.149,31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1.680,00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2.042,90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2.938,08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529,40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Premije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348,44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314,63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1.073,55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A1007-11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SREDNJEŠKOLSKO OBRAZOVANJE - OPERATIVNI PLAN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27.175,00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26.720,09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98,33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27.175,00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26.720,09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98,33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27.175,00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26.720,09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98,33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26.720,09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A1007-12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PODIZANJE KVALITETE I STANDARDA KROZ AKTIVNOSTI ŠKOLA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68.386,00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40.209,70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58,80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664,00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430,02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64,76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430,02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64,76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59,52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70,50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15.018,00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5.506,25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36,66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2.256,81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45,14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1.937,13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319,68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5.918,00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3.249,44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54,91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181,30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Premije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797,32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1.584,62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686,20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Ostali 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29.584,00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19.236,74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65,02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21.427,00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16.672,74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77,81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2.701,60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75,23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37,99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3.317,50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1.237,76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1.150,00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6.777,66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8.157,00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2.564,00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31,43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1.541,05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Oprema za održavanje i zaštitu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1.022,95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EU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13.561,00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6.800,78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50,15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11.961,00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6.194,92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51,79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243,00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1.624,20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1.168,13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159,59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605,86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37,87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605,86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7.701,00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7.238,00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93,99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7.701,00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7.238,00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93,99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4.121,00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3.117,00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71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prodaje ili zamjene nefinancijske imovine i naknade s naslova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997,91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997,91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99,99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997,91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A1007-70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KAPITALNA ULAGANJA I NABAVA OPREME U SREDNJEM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42.590,00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443,65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7.703,00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Oprema za održavanje i zaštitu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1.897,00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32.990,00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32.990,00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Ulaganja u računalne programe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32.990,00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6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T1007-34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OPSKRBA ŠKOLSKIH USTANOVA BESPLATNIM ZALIHAMA MENSTRUALNIH HIGIJENSKIH POTREPŠTINA - 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351,53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99,87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351,53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99,87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351,53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99,87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351,53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T1007-46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ZAJEDNO DO ZNANJA UZ VIŠE ELANA VI - 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17.349,00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17.222,20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99,27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Predfinanciranje EU projekata iz sr.ŠKŽ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17.349,00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17.222,20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99,27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15.934,00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16.637,20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104,41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13.680,00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2.257,20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1.415,00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585,00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41,34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585,00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K1007-59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SIGURNOST U ŠKOLAMA - 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1.875,00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1.875,00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1.875,00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1.875,00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30004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G- DJELATNOST OSNOVNIH I SREDNJIH ŠKOLA IZVAN PRORAČUNA ŠKZ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1.398.793,00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1.541.467,59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110,20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1.398.793,00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1.541.467,59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110,20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1007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OSNOVNO I SREDNJEŠKOLSKO OBRAZOVANJE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1.398.793,00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1.541.467,59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110,20</w:t>
            </w:r>
          </w:p>
        </w:tc>
      </w:tr>
      <w:tr w:rsidR="00D75DED" w:rsidTr="00D75DED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A1007-58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REDOVNA DJELATNOST ŠKOLA (EVIDENCIJSKI PRIHODI)-SŠ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1.398.793,00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1.541.467,59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110,20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1.398.793,00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1.541.467,59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110,20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1.388.662,00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1.532.204,14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110,34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1.278.615,88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47.610,70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205.977,56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10.131,00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9.263,45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91,44</w:t>
            </w:r>
          </w:p>
        </w:tc>
      </w:tr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4.271,45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75DED" w:rsidTr="00D75DED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4.992,00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DED" w:rsidRDefault="00D75DED" w:rsidP="00D75DED">
            <w:pPr>
              <w:pStyle w:val="ParagraphStyle16"/>
              <w:rPr>
                <w:rStyle w:val="CharacterStyle16"/>
              </w:rPr>
            </w:pPr>
          </w:p>
        </w:tc>
      </w:tr>
    </w:tbl>
    <w:p w:rsidR="00D75DED" w:rsidRDefault="00D75DED" w:rsidP="00D75DED"/>
    <w:p w:rsidR="00FA07B2" w:rsidRDefault="00FA07B2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07B2" w:rsidRDefault="00FA07B2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05B0" w:rsidRPr="00BF3C7B" w:rsidRDefault="007805B0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B2">
        <w:rPr>
          <w:rFonts w:ascii="Times New Roman" w:hAnsi="Times New Roman" w:cs="Times New Roman"/>
          <w:b/>
          <w:sz w:val="24"/>
          <w:szCs w:val="24"/>
        </w:rPr>
        <w:t>Posebni dio godišnjeg  izvještaja o</w:t>
      </w:r>
      <w:r w:rsidRPr="00BF3C7B">
        <w:rPr>
          <w:rFonts w:ascii="Times New Roman" w:hAnsi="Times New Roman" w:cs="Times New Roman"/>
          <w:sz w:val="24"/>
          <w:szCs w:val="24"/>
        </w:rPr>
        <w:t xml:space="preserve"> izvršenju financijskog plana iskazuje se u Izvještaju po programskoj klasifikaciji.</w:t>
      </w:r>
    </w:p>
    <w:p w:rsidR="007805B0" w:rsidRPr="00BF3C7B" w:rsidRDefault="007805B0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7B">
        <w:rPr>
          <w:rFonts w:ascii="Times New Roman" w:hAnsi="Times New Roman" w:cs="Times New Roman"/>
          <w:sz w:val="24"/>
          <w:szCs w:val="24"/>
        </w:rPr>
        <w:t xml:space="preserve">Sadrži prikaz RASHODA I IZDATAKA iskazanim po izvorima financiranja i ekonomskoj klasifikaciji raspoređenih u programe koji se sastoje od </w:t>
      </w:r>
      <w:r w:rsidRPr="00BF3C7B">
        <w:rPr>
          <w:rFonts w:ascii="Times New Roman" w:hAnsi="Times New Roman" w:cs="Times New Roman"/>
          <w:b/>
          <w:sz w:val="24"/>
          <w:szCs w:val="24"/>
        </w:rPr>
        <w:t>aktivnosti i projekata.</w:t>
      </w:r>
    </w:p>
    <w:p w:rsidR="00FC33F0" w:rsidRDefault="00FC33F0" w:rsidP="00AF2354">
      <w:pPr>
        <w:pStyle w:val="Odlomakpopisa"/>
        <w:spacing w:before="60" w:after="60" w:line="240" w:lineRule="auto"/>
        <w:ind w:left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45D" w:rsidRDefault="00A3245D" w:rsidP="00AF2354">
      <w:pPr>
        <w:pStyle w:val="Odlomakpopisa"/>
        <w:spacing w:before="60" w:after="60" w:line="240" w:lineRule="auto"/>
        <w:ind w:left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31FA" w:rsidRPr="00FA07B2" w:rsidRDefault="007805B0" w:rsidP="00BF3C7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7B2">
        <w:rPr>
          <w:rFonts w:ascii="Times New Roman" w:hAnsi="Times New Roman" w:cs="Times New Roman"/>
          <w:b/>
          <w:sz w:val="24"/>
          <w:szCs w:val="24"/>
        </w:rPr>
        <w:t>Svaka aktivnost i projekt ima svoj cilj</w:t>
      </w:r>
      <w:r w:rsidR="00FC33F0" w:rsidRPr="00FA07B2">
        <w:rPr>
          <w:rFonts w:ascii="Times New Roman" w:hAnsi="Times New Roman" w:cs="Times New Roman"/>
          <w:b/>
          <w:sz w:val="24"/>
          <w:szCs w:val="24"/>
        </w:rPr>
        <w:t>:</w:t>
      </w:r>
    </w:p>
    <w:p w:rsidR="007805B0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05B0" w:rsidRPr="00BF3C7B">
        <w:rPr>
          <w:rFonts w:ascii="Times New Roman" w:hAnsi="Times New Roman" w:cs="Times New Roman"/>
          <w:sz w:val="24"/>
          <w:szCs w:val="24"/>
        </w:rPr>
        <w:t>A1007-10 Aktivnost srednjoškolsko obrazovanje –standard;</w:t>
      </w:r>
      <w:r w:rsidR="008C31FA" w:rsidRPr="00BF3C7B">
        <w:rPr>
          <w:rFonts w:ascii="Times New Roman" w:hAnsi="Times New Roman" w:cs="Times New Roman"/>
          <w:sz w:val="24"/>
          <w:szCs w:val="24"/>
        </w:rPr>
        <w:t xml:space="preserve"> cilj je financiranje minimalnog standarda za odvijanje  redovitog nastavnog procesa</w:t>
      </w:r>
      <w:r w:rsidR="001856E5">
        <w:rPr>
          <w:rFonts w:ascii="Times New Roman" w:hAnsi="Times New Roman" w:cs="Times New Roman"/>
          <w:sz w:val="24"/>
          <w:szCs w:val="24"/>
        </w:rPr>
        <w:t xml:space="preserve"> - izvršenje 104,51</w:t>
      </w:r>
      <w:r w:rsidR="00FA07B2">
        <w:rPr>
          <w:rFonts w:ascii="Times New Roman" w:hAnsi="Times New Roman" w:cs="Times New Roman"/>
          <w:sz w:val="24"/>
          <w:szCs w:val="24"/>
        </w:rPr>
        <w:t xml:space="preserve"> </w:t>
      </w:r>
      <w:r w:rsidR="00F553B0" w:rsidRPr="00BF3C7B">
        <w:rPr>
          <w:rFonts w:ascii="Times New Roman" w:hAnsi="Times New Roman" w:cs="Times New Roman"/>
          <w:sz w:val="24"/>
          <w:szCs w:val="24"/>
        </w:rPr>
        <w:t>% u odnosu na plan,</w:t>
      </w:r>
    </w:p>
    <w:p w:rsidR="008C31FA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56E5">
        <w:rPr>
          <w:rFonts w:ascii="Times New Roman" w:hAnsi="Times New Roman" w:cs="Times New Roman"/>
          <w:sz w:val="24"/>
          <w:szCs w:val="24"/>
        </w:rPr>
        <w:t>A1007-11 Operativni plan</w:t>
      </w:r>
      <w:r w:rsidR="008C31FA" w:rsidRPr="00BF3C7B">
        <w:rPr>
          <w:rFonts w:ascii="Times New Roman" w:hAnsi="Times New Roman" w:cs="Times New Roman"/>
          <w:sz w:val="24"/>
          <w:szCs w:val="24"/>
        </w:rPr>
        <w:t>; cilj je  tekuće održavanje  školske zgrade i opreme</w:t>
      </w:r>
      <w:r w:rsidR="001856E5">
        <w:rPr>
          <w:rFonts w:ascii="Times New Roman" w:hAnsi="Times New Roman" w:cs="Times New Roman"/>
          <w:sz w:val="24"/>
          <w:szCs w:val="24"/>
        </w:rPr>
        <w:t xml:space="preserve"> - izvršenje 98,33</w:t>
      </w:r>
      <w:r w:rsidR="00FA07B2">
        <w:rPr>
          <w:rFonts w:ascii="Times New Roman" w:hAnsi="Times New Roman" w:cs="Times New Roman"/>
          <w:sz w:val="24"/>
          <w:szCs w:val="24"/>
        </w:rPr>
        <w:t xml:space="preserve"> </w:t>
      </w:r>
      <w:r w:rsidR="00F553B0" w:rsidRPr="00BF3C7B">
        <w:rPr>
          <w:rFonts w:ascii="Times New Roman" w:hAnsi="Times New Roman" w:cs="Times New Roman"/>
          <w:sz w:val="24"/>
          <w:szCs w:val="24"/>
        </w:rPr>
        <w:t>% u odnosu na plan,</w:t>
      </w:r>
    </w:p>
    <w:p w:rsidR="00305E67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1FA" w:rsidRPr="00BF3C7B">
        <w:rPr>
          <w:rFonts w:ascii="Times New Roman" w:hAnsi="Times New Roman" w:cs="Times New Roman"/>
          <w:sz w:val="24"/>
          <w:szCs w:val="24"/>
        </w:rPr>
        <w:t xml:space="preserve">A1007-12 Podizanje kvalitete i </w:t>
      </w:r>
      <w:r w:rsidR="00F553B0" w:rsidRPr="00BF3C7B">
        <w:rPr>
          <w:rFonts w:ascii="Times New Roman" w:hAnsi="Times New Roman" w:cs="Times New Roman"/>
          <w:sz w:val="24"/>
          <w:szCs w:val="24"/>
        </w:rPr>
        <w:t xml:space="preserve">standarda kroz aktivnosti škole; cilj je </w:t>
      </w:r>
      <w:r w:rsidR="008C31FA" w:rsidRPr="00BF3C7B">
        <w:rPr>
          <w:rFonts w:ascii="Times New Roman" w:hAnsi="Times New Roman" w:cs="Times New Roman"/>
          <w:sz w:val="24"/>
          <w:szCs w:val="24"/>
        </w:rPr>
        <w:t>pokriće materijalnih rashoda za koja nisu dovoljna sredstva iz decentralizacije, n</w:t>
      </w:r>
      <w:r w:rsidR="00F553B0" w:rsidRPr="00BF3C7B">
        <w:rPr>
          <w:rFonts w:ascii="Times New Roman" w:hAnsi="Times New Roman" w:cs="Times New Roman"/>
          <w:sz w:val="24"/>
          <w:szCs w:val="24"/>
        </w:rPr>
        <w:t xml:space="preserve">abava osnovnih sredstava, </w:t>
      </w:r>
      <w:r w:rsidR="00FA07B2">
        <w:rPr>
          <w:rFonts w:ascii="Times New Roman" w:hAnsi="Times New Roman" w:cs="Times New Roman"/>
          <w:sz w:val="24"/>
          <w:szCs w:val="24"/>
        </w:rPr>
        <w:t>sredstva za učeničke aktivnosti, županijska stručna vij</w:t>
      </w:r>
      <w:r w:rsidR="001856E5">
        <w:rPr>
          <w:rFonts w:ascii="Times New Roman" w:hAnsi="Times New Roman" w:cs="Times New Roman"/>
          <w:sz w:val="24"/>
          <w:szCs w:val="24"/>
        </w:rPr>
        <w:t>eća</w:t>
      </w:r>
      <w:r w:rsidR="00FA07B2">
        <w:rPr>
          <w:rFonts w:ascii="Times New Roman" w:hAnsi="Times New Roman" w:cs="Times New Roman"/>
          <w:sz w:val="24"/>
          <w:szCs w:val="24"/>
        </w:rPr>
        <w:t>, troškovi održavanja osobnog automobila (gorivo, servis, registrac</w:t>
      </w:r>
      <w:r w:rsidR="001856E5">
        <w:rPr>
          <w:rFonts w:ascii="Times New Roman" w:hAnsi="Times New Roman" w:cs="Times New Roman"/>
          <w:sz w:val="24"/>
          <w:szCs w:val="24"/>
        </w:rPr>
        <w:t>ija, osiguranje)</w:t>
      </w:r>
      <w:r w:rsidR="00F553B0" w:rsidRPr="00BF3C7B">
        <w:rPr>
          <w:rFonts w:ascii="Times New Roman" w:hAnsi="Times New Roman" w:cs="Times New Roman"/>
          <w:sz w:val="24"/>
          <w:szCs w:val="24"/>
        </w:rPr>
        <w:t>, razne aktiv</w:t>
      </w:r>
      <w:r w:rsidR="001856E5">
        <w:rPr>
          <w:rFonts w:ascii="Times New Roman" w:hAnsi="Times New Roman" w:cs="Times New Roman"/>
          <w:sz w:val="24"/>
          <w:szCs w:val="24"/>
        </w:rPr>
        <w:t>nosti i ostalo – izvršenje 58,80</w:t>
      </w:r>
      <w:r w:rsidR="00D35959">
        <w:rPr>
          <w:rFonts w:ascii="Times New Roman" w:hAnsi="Times New Roman" w:cs="Times New Roman"/>
          <w:sz w:val="24"/>
          <w:szCs w:val="24"/>
        </w:rPr>
        <w:t xml:space="preserve"> </w:t>
      </w:r>
      <w:r w:rsidR="00F553B0" w:rsidRPr="00BF3C7B">
        <w:rPr>
          <w:rFonts w:ascii="Times New Roman" w:hAnsi="Times New Roman" w:cs="Times New Roman"/>
          <w:sz w:val="24"/>
          <w:szCs w:val="24"/>
        </w:rPr>
        <w:t>% u odnosu na plan,</w:t>
      </w:r>
    </w:p>
    <w:p w:rsidR="006B6B2F" w:rsidRPr="00BF3C7B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53B0" w:rsidRPr="00BF3C7B">
        <w:rPr>
          <w:rFonts w:ascii="Times New Roman" w:hAnsi="Times New Roman" w:cs="Times New Roman"/>
          <w:sz w:val="24"/>
          <w:szCs w:val="24"/>
        </w:rPr>
        <w:t xml:space="preserve">T1007-34 </w:t>
      </w:r>
      <w:r w:rsidR="00E53653" w:rsidRPr="00BF3C7B">
        <w:rPr>
          <w:rFonts w:ascii="Times New Roman" w:hAnsi="Times New Roman" w:cs="Times New Roman"/>
          <w:sz w:val="24"/>
          <w:szCs w:val="24"/>
        </w:rPr>
        <w:t>Opskrba školskih ustanova</w:t>
      </w:r>
      <w:r w:rsidR="006B6B2F" w:rsidRPr="00BF3C7B">
        <w:rPr>
          <w:rFonts w:ascii="Times New Roman" w:hAnsi="Times New Roman" w:cs="Times New Roman"/>
          <w:sz w:val="24"/>
          <w:szCs w:val="24"/>
        </w:rPr>
        <w:t xml:space="preserve"> besplatnim zalihama menstrualnih potrepština</w:t>
      </w:r>
      <w:r w:rsidR="00F553B0" w:rsidRPr="00BF3C7B">
        <w:rPr>
          <w:rFonts w:ascii="Times New Roman" w:hAnsi="Times New Roman" w:cs="Times New Roman"/>
          <w:sz w:val="24"/>
          <w:szCs w:val="24"/>
        </w:rPr>
        <w:t xml:space="preserve">; </w:t>
      </w:r>
      <w:r w:rsidR="00F868F8" w:rsidRPr="00BF3C7B">
        <w:rPr>
          <w:rFonts w:ascii="Times New Roman" w:hAnsi="Times New Roman" w:cs="Times New Roman"/>
          <w:sz w:val="24"/>
          <w:szCs w:val="24"/>
        </w:rPr>
        <w:t>cilj ovog projekta je podjela besplatnih hi</w:t>
      </w:r>
      <w:r w:rsidR="00F553B0" w:rsidRPr="00BF3C7B">
        <w:rPr>
          <w:rFonts w:ascii="Times New Roman" w:hAnsi="Times New Roman" w:cs="Times New Roman"/>
          <w:sz w:val="24"/>
          <w:szCs w:val="24"/>
        </w:rPr>
        <w:t>gijenskih potrepš</w:t>
      </w:r>
      <w:r w:rsidR="00D35959">
        <w:rPr>
          <w:rFonts w:ascii="Times New Roman" w:hAnsi="Times New Roman" w:cs="Times New Roman"/>
          <w:sz w:val="24"/>
          <w:szCs w:val="24"/>
        </w:rPr>
        <w:t>t</w:t>
      </w:r>
      <w:r w:rsidR="001856E5">
        <w:rPr>
          <w:rFonts w:ascii="Times New Roman" w:hAnsi="Times New Roman" w:cs="Times New Roman"/>
          <w:sz w:val="24"/>
          <w:szCs w:val="24"/>
        </w:rPr>
        <w:t>ina učenicama – izvršenje 99,87</w:t>
      </w:r>
      <w:r w:rsidR="00D35959">
        <w:rPr>
          <w:rFonts w:ascii="Times New Roman" w:hAnsi="Times New Roman" w:cs="Times New Roman"/>
          <w:sz w:val="24"/>
          <w:szCs w:val="24"/>
        </w:rPr>
        <w:t xml:space="preserve"> </w:t>
      </w:r>
      <w:r w:rsidR="00F553B0" w:rsidRPr="00BF3C7B">
        <w:rPr>
          <w:rFonts w:ascii="Times New Roman" w:hAnsi="Times New Roman" w:cs="Times New Roman"/>
          <w:sz w:val="24"/>
          <w:szCs w:val="24"/>
        </w:rPr>
        <w:t>% u odnosu na plan,</w:t>
      </w:r>
    </w:p>
    <w:p w:rsidR="00D35959" w:rsidRDefault="00BF3C7B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4DE5" w:rsidRPr="00BF3C7B">
        <w:rPr>
          <w:rFonts w:ascii="Times New Roman" w:hAnsi="Times New Roman" w:cs="Times New Roman"/>
          <w:sz w:val="24"/>
          <w:szCs w:val="24"/>
        </w:rPr>
        <w:t>A1007-56  Redovna djelatnost škola; cilj je financiranje</w:t>
      </w:r>
      <w:r w:rsidR="00750C5A" w:rsidRPr="00BF3C7B">
        <w:rPr>
          <w:rFonts w:ascii="Times New Roman" w:hAnsi="Times New Roman" w:cs="Times New Roman"/>
          <w:sz w:val="24"/>
          <w:szCs w:val="24"/>
        </w:rPr>
        <w:t xml:space="preserve"> rash</w:t>
      </w:r>
      <w:r w:rsidR="00F553B0" w:rsidRPr="00BF3C7B">
        <w:rPr>
          <w:rFonts w:ascii="Times New Roman" w:hAnsi="Times New Roman" w:cs="Times New Roman"/>
          <w:sz w:val="24"/>
          <w:szCs w:val="24"/>
        </w:rPr>
        <w:t>oda za zaposlene</w:t>
      </w:r>
      <w:r w:rsidR="00F868F8" w:rsidRPr="00BF3C7B">
        <w:rPr>
          <w:rFonts w:ascii="Times New Roman" w:hAnsi="Times New Roman" w:cs="Times New Roman"/>
          <w:sz w:val="24"/>
          <w:szCs w:val="24"/>
        </w:rPr>
        <w:t xml:space="preserve">, naknada i ostalog. </w:t>
      </w:r>
      <w:r w:rsidR="008D7692" w:rsidRPr="00BF3C7B">
        <w:rPr>
          <w:rFonts w:ascii="Times New Roman" w:hAnsi="Times New Roman" w:cs="Times New Roman"/>
          <w:sz w:val="24"/>
          <w:szCs w:val="24"/>
        </w:rPr>
        <w:t xml:space="preserve"> Sva p</w:t>
      </w:r>
      <w:r w:rsidR="00F868F8" w:rsidRPr="00BF3C7B">
        <w:rPr>
          <w:rFonts w:ascii="Times New Roman" w:hAnsi="Times New Roman" w:cs="Times New Roman"/>
          <w:sz w:val="24"/>
          <w:szCs w:val="24"/>
        </w:rPr>
        <w:t>laćanja idu izvan pr</w:t>
      </w:r>
      <w:r w:rsidR="00F553B0" w:rsidRPr="00BF3C7B">
        <w:rPr>
          <w:rFonts w:ascii="Times New Roman" w:hAnsi="Times New Roman" w:cs="Times New Roman"/>
          <w:sz w:val="24"/>
          <w:szCs w:val="24"/>
        </w:rPr>
        <w:t>oračuna ŠKŽ, preko COP-a i FINE – izv</w:t>
      </w:r>
      <w:r w:rsidR="007218DD">
        <w:rPr>
          <w:rFonts w:ascii="Times New Roman" w:hAnsi="Times New Roman" w:cs="Times New Roman"/>
          <w:sz w:val="24"/>
          <w:szCs w:val="24"/>
        </w:rPr>
        <w:t>ršenje 110,20</w:t>
      </w:r>
      <w:r w:rsidR="00D3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:rsidR="00C508DF" w:rsidRDefault="00C508DF" w:rsidP="00C508D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T1007-46 Zajedno do znanja uz više elana VI, troškovi plaće i prijevoza za po</w:t>
      </w:r>
      <w:r w:rsidR="007218DD">
        <w:rPr>
          <w:rFonts w:ascii="Times New Roman" w:hAnsi="Times New Roman" w:cs="Times New Roman"/>
          <w:sz w:val="24"/>
          <w:szCs w:val="24"/>
        </w:rPr>
        <w:t>moćnike u nastavi – izvršenje 99,27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35959" w:rsidRDefault="007218DD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C508DF">
        <w:rPr>
          <w:rFonts w:ascii="Times New Roman" w:hAnsi="Times New Roman" w:cs="Times New Roman"/>
          <w:sz w:val="24"/>
          <w:szCs w:val="24"/>
        </w:rPr>
        <w:t>1007-70 Kapitalna ulaganja i nabava opreme u srednjem školstvu</w:t>
      </w:r>
      <w:r>
        <w:rPr>
          <w:rFonts w:ascii="Times New Roman" w:hAnsi="Times New Roman" w:cs="Times New Roman"/>
          <w:sz w:val="24"/>
          <w:szCs w:val="24"/>
        </w:rPr>
        <w:t>–izvršenje 443,65</w:t>
      </w:r>
      <w:r w:rsidR="00D35959">
        <w:rPr>
          <w:rFonts w:ascii="Times New Roman" w:hAnsi="Times New Roman" w:cs="Times New Roman"/>
          <w:sz w:val="24"/>
          <w:szCs w:val="24"/>
        </w:rPr>
        <w:t>% u odnosu na plan</w:t>
      </w:r>
    </w:p>
    <w:p w:rsidR="00A059BC" w:rsidRDefault="00A94E08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-K1007-59 Sigurnost u školama –SŠ-sredstva osigurana za izradu</w:t>
      </w:r>
      <w:r w:rsidR="0030792F">
        <w:rPr>
          <w:rFonts w:ascii="Times New Roman" w:hAnsi="Times New Roman" w:cs="Times New Roman"/>
          <w:sz w:val="24"/>
          <w:szCs w:val="24"/>
        </w:rPr>
        <w:t xml:space="preserve"> elaborata</w:t>
      </w:r>
      <w:r>
        <w:rPr>
          <w:rFonts w:ascii="Times New Roman" w:hAnsi="Times New Roman" w:cs="Times New Roman"/>
          <w:sz w:val="24"/>
          <w:szCs w:val="24"/>
        </w:rPr>
        <w:t xml:space="preserve"> procjene postojećeg stanja i analize rizika i p</w:t>
      </w:r>
      <w:r w:rsidRPr="00A94E08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4E08">
        <w:rPr>
          <w:rFonts w:ascii="Times New Roman" w:hAnsi="Times New Roman" w:cs="Times New Roman"/>
          <w:sz w:val="24"/>
          <w:szCs w:val="24"/>
        </w:rPr>
        <w:t xml:space="preserve"> sigurnosti</w:t>
      </w:r>
      <w:r>
        <w:rPr>
          <w:rFonts w:ascii="Times New Roman" w:hAnsi="Times New Roman" w:cs="Times New Roman"/>
          <w:sz w:val="24"/>
          <w:szCs w:val="24"/>
        </w:rPr>
        <w:t xml:space="preserve"> u školama</w:t>
      </w:r>
    </w:p>
    <w:p w:rsidR="007218DD" w:rsidRDefault="007218DD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92F" w:rsidRDefault="0030792F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92F" w:rsidRPr="00BF3C7B" w:rsidRDefault="0030792F" w:rsidP="00BF3C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3B0" w:rsidRPr="004E307A" w:rsidRDefault="00F553B0" w:rsidP="003F72C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3F72C3" w:rsidRDefault="003F72C3" w:rsidP="0004349B">
      <w:pPr>
        <w:pStyle w:val="Odlomakpopisa"/>
        <w:numPr>
          <w:ilvl w:val="0"/>
          <w:numId w:val="1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lastRenderedPageBreak/>
        <w:t>POSEBNI IZVJEŠTAJI:</w:t>
      </w:r>
    </w:p>
    <w:p w:rsidR="00055283" w:rsidRPr="004E307A" w:rsidRDefault="00055283" w:rsidP="00055283">
      <w:pPr>
        <w:pStyle w:val="Odlomakpopisa"/>
        <w:spacing w:before="60" w:after="6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B61" w:rsidRPr="004E307A" w:rsidRDefault="00BA3B61" w:rsidP="0004349B">
      <w:pPr>
        <w:pStyle w:val="box474667"/>
        <w:numPr>
          <w:ilvl w:val="1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Izvještaj o zaduživanju na domaćem i stranom tržištu novca i kapitala</w:t>
      </w:r>
    </w:p>
    <w:p w:rsidR="00BA3B61" w:rsidRPr="004E307A" w:rsidRDefault="001D6367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Prometno-tehnička škola Šibenik </w:t>
      </w:r>
      <w:r w:rsidR="00BA3B61" w:rsidRPr="004E307A">
        <w:rPr>
          <w:color w:val="231F20"/>
        </w:rPr>
        <w:t>se</w:t>
      </w:r>
      <w:r w:rsidR="007D000B" w:rsidRPr="004E307A">
        <w:rPr>
          <w:color w:val="231F20"/>
        </w:rPr>
        <w:t xml:space="preserve"> u</w:t>
      </w:r>
      <w:r w:rsidR="00BA3B61" w:rsidRPr="004E307A">
        <w:rPr>
          <w:color w:val="231F20"/>
        </w:rPr>
        <w:t xml:space="preserve"> izvještajnom razdoblju nije zaduživala.</w:t>
      </w:r>
    </w:p>
    <w:p w:rsidR="00BA3B61" w:rsidRPr="004E307A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color w:val="231F20"/>
        </w:rPr>
      </w:pPr>
    </w:p>
    <w:p w:rsidR="00BA3B61" w:rsidRPr="004E307A" w:rsidRDefault="00BA3B61" w:rsidP="0004349B">
      <w:pPr>
        <w:pStyle w:val="box474667"/>
        <w:numPr>
          <w:ilvl w:val="1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Izvještaj o korištenju sredstava fondova Europske unije</w:t>
      </w:r>
    </w:p>
    <w:p w:rsidR="007D000B" w:rsidRPr="004E307A" w:rsidRDefault="001D6367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Prometno-tehnička škola Šibenik </w:t>
      </w:r>
      <w:r w:rsidR="007D000B" w:rsidRPr="004E307A">
        <w:rPr>
          <w:color w:val="231F20"/>
        </w:rPr>
        <w:t>u izvještajnom razdoblju nije koristila sredstva Europske unije.</w:t>
      </w:r>
    </w:p>
    <w:p w:rsidR="00BA3B61" w:rsidRPr="004E307A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b/>
          <w:color w:val="231F20"/>
        </w:rPr>
      </w:pPr>
    </w:p>
    <w:p w:rsidR="00BA3B61" w:rsidRPr="004E307A" w:rsidRDefault="00BA3B61" w:rsidP="0004349B">
      <w:pPr>
        <w:pStyle w:val="box474667"/>
        <w:numPr>
          <w:ilvl w:val="1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Izvještaj o danim zajmovima i potraživanjima po danim zajmovima</w:t>
      </w:r>
    </w:p>
    <w:p w:rsidR="007D000B" w:rsidRPr="004E307A" w:rsidRDefault="001D6367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Prometno-tehnička škola Šibenik </w:t>
      </w:r>
      <w:r w:rsidR="007D000B" w:rsidRPr="004E307A">
        <w:rPr>
          <w:color w:val="231F20"/>
        </w:rPr>
        <w:t>u izvještajnom razdoblju nije davala zajmove niti ima potraživanja.</w:t>
      </w:r>
    </w:p>
    <w:p w:rsidR="00BA3B61" w:rsidRPr="004E307A" w:rsidRDefault="00BA3B61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b/>
          <w:color w:val="231F20"/>
        </w:rPr>
      </w:pPr>
    </w:p>
    <w:p w:rsidR="00BA3B61" w:rsidRPr="004E307A" w:rsidRDefault="00BA3B61" w:rsidP="0004349B">
      <w:pPr>
        <w:pStyle w:val="box474667"/>
        <w:numPr>
          <w:ilvl w:val="1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b/>
          <w:color w:val="231F20"/>
        </w:rPr>
      </w:pPr>
      <w:r w:rsidRPr="004E307A">
        <w:rPr>
          <w:b/>
          <w:color w:val="231F20"/>
        </w:rPr>
        <w:t>Izvještaj o stanju potraživanja i dospjelih obveza te o stanju potencijalnih obveza po osnovi sudskih sporova.</w:t>
      </w:r>
    </w:p>
    <w:p w:rsidR="00514D63" w:rsidRDefault="00514D63" w:rsidP="00514D63">
      <w:pPr>
        <w:spacing w:before="6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nenaplaćenih potraživanja iznosi 239,89 eura.</w:t>
      </w:r>
    </w:p>
    <w:p w:rsidR="003F72C3" w:rsidRDefault="001D6367" w:rsidP="00514D63">
      <w:pPr>
        <w:spacing w:before="6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</w:t>
      </w:r>
      <w:r w:rsidR="00514D63">
        <w:rPr>
          <w:rFonts w:ascii="Times New Roman" w:hAnsi="Times New Roman" w:cs="Times New Roman"/>
          <w:sz w:val="24"/>
          <w:szCs w:val="24"/>
        </w:rPr>
        <w:t>no-tehnička škola Šibenik nema nepodmirenih dospjelih obveza te potencijalnih obveza po osnovi sudskih sporova na kraju proračunske godine.</w:t>
      </w:r>
      <w:r w:rsidR="00D94397" w:rsidRPr="004E3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90" w:rsidRDefault="002B6E90" w:rsidP="002B6E9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90" w:rsidRDefault="002B6E90" w:rsidP="002B6E90">
      <w:pPr>
        <w:pStyle w:val="Odlomakpopisa"/>
        <w:numPr>
          <w:ilvl w:val="1"/>
          <w:numId w:val="16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E90">
        <w:rPr>
          <w:rFonts w:ascii="Times New Roman" w:hAnsi="Times New Roman" w:cs="Times New Roman"/>
          <w:b/>
          <w:sz w:val="24"/>
          <w:szCs w:val="24"/>
        </w:rPr>
        <w:t>Izvještaj o danim jamstvima i plaćanjima po protestiranim jamstvima</w:t>
      </w:r>
    </w:p>
    <w:p w:rsidR="002B6E90" w:rsidRDefault="002B6E90" w:rsidP="002B6E90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90" w:rsidRPr="002B6E90" w:rsidRDefault="002B6E90" w:rsidP="002B6E90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90">
        <w:rPr>
          <w:rFonts w:ascii="Times New Roman" w:hAnsi="Times New Roman" w:cs="Times New Roman"/>
          <w:sz w:val="24"/>
          <w:szCs w:val="24"/>
        </w:rPr>
        <w:t>Prometno-tehnička škola Šibenik nema danih jamstava ni plaćanja po protestiranim jamstvima.</w:t>
      </w:r>
    </w:p>
    <w:p w:rsidR="00085DB8" w:rsidRPr="004E307A" w:rsidRDefault="00085DB8" w:rsidP="00AF2354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85DB8" w:rsidRPr="004E307A" w:rsidRDefault="00085DB8" w:rsidP="00AF2354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85DB8" w:rsidRPr="004E307A" w:rsidRDefault="00085DB8" w:rsidP="00AF2354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85DB8" w:rsidRPr="004E307A" w:rsidRDefault="00085DB8" w:rsidP="00AF2354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85DB8" w:rsidRDefault="000272E9" w:rsidP="00085DB8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Voditelj računovodstva</w:t>
      </w:r>
      <w:r w:rsidR="00085DB8" w:rsidRPr="004E307A">
        <w:rPr>
          <w:rFonts w:ascii="Times New Roman" w:hAnsi="Times New Roman" w:cs="Times New Roman"/>
          <w:sz w:val="24"/>
          <w:szCs w:val="24"/>
        </w:rPr>
        <w:t xml:space="preserve">:                                            </w:t>
      </w:r>
      <w:r w:rsidR="001D6367">
        <w:rPr>
          <w:rFonts w:ascii="Times New Roman" w:hAnsi="Times New Roman" w:cs="Times New Roman"/>
          <w:sz w:val="24"/>
          <w:szCs w:val="24"/>
        </w:rPr>
        <w:t xml:space="preserve"> </w:t>
      </w:r>
      <w:r w:rsidR="00D75DED">
        <w:rPr>
          <w:rFonts w:ascii="Times New Roman" w:hAnsi="Times New Roman" w:cs="Times New Roman"/>
          <w:sz w:val="24"/>
          <w:szCs w:val="24"/>
        </w:rPr>
        <w:t xml:space="preserve">       </w:t>
      </w:r>
      <w:r w:rsidR="00085DB8" w:rsidRPr="004E307A">
        <w:rPr>
          <w:rFonts w:ascii="Times New Roman" w:hAnsi="Times New Roman" w:cs="Times New Roman"/>
          <w:sz w:val="24"/>
          <w:szCs w:val="24"/>
        </w:rPr>
        <w:t>Ravnatelj:</w:t>
      </w:r>
    </w:p>
    <w:p w:rsidR="00BF3C7B" w:rsidRDefault="00BF3C7B" w:rsidP="00D75DE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C7B" w:rsidRPr="004E307A" w:rsidRDefault="00BF3C7B" w:rsidP="00085DB8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</w:t>
      </w:r>
    </w:p>
    <w:p w:rsidR="003F72C3" w:rsidRPr="004E307A" w:rsidRDefault="00D75DED" w:rsidP="000955DA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</w:t>
      </w:r>
      <w:proofErr w:type="spellEnd"/>
      <w:r w:rsidR="001D6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367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1D636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6367">
        <w:rPr>
          <w:rFonts w:ascii="Times New Roman" w:hAnsi="Times New Roman" w:cs="Times New Roman"/>
          <w:sz w:val="24"/>
          <w:szCs w:val="24"/>
        </w:rPr>
        <w:t xml:space="preserve">Marijan Bilić, </w:t>
      </w:r>
      <w:proofErr w:type="spellStart"/>
      <w:r w:rsidR="001D6367">
        <w:rPr>
          <w:rFonts w:ascii="Times New Roman" w:hAnsi="Times New Roman" w:cs="Times New Roman"/>
          <w:sz w:val="24"/>
          <w:szCs w:val="24"/>
        </w:rPr>
        <w:t>dip.ing</w:t>
      </w:r>
      <w:proofErr w:type="spellEnd"/>
    </w:p>
    <w:sectPr w:rsidR="003F72C3" w:rsidRPr="004E307A" w:rsidSect="00FA07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6F" w:rsidRDefault="00AB506F" w:rsidP="00A3600A">
      <w:pPr>
        <w:spacing w:after="0" w:line="240" w:lineRule="auto"/>
      </w:pPr>
      <w:r>
        <w:separator/>
      </w:r>
    </w:p>
  </w:endnote>
  <w:endnote w:type="continuationSeparator" w:id="0">
    <w:p w:rsidR="00AB506F" w:rsidRDefault="00AB506F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711349"/>
      <w:docPartObj>
        <w:docPartGallery w:val="Page Numbers (Bottom of Page)"/>
        <w:docPartUnique/>
      </w:docPartObj>
    </w:sdtPr>
    <w:sdtContent>
      <w:p w:rsidR="004F504A" w:rsidRDefault="004F50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04A" w:rsidRDefault="004F50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6F" w:rsidRDefault="00AB506F" w:rsidP="00A3600A">
      <w:pPr>
        <w:spacing w:after="0" w:line="240" w:lineRule="auto"/>
      </w:pPr>
      <w:r>
        <w:separator/>
      </w:r>
    </w:p>
  </w:footnote>
  <w:footnote w:type="continuationSeparator" w:id="0">
    <w:p w:rsidR="00AB506F" w:rsidRDefault="00AB506F" w:rsidP="00A3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8FE4305"/>
    <w:multiLevelType w:val="hybridMultilevel"/>
    <w:tmpl w:val="F5C416D4"/>
    <w:lvl w:ilvl="0" w:tplc="3320C8B2">
      <w:start w:val="1"/>
      <w:numFmt w:val="decimal"/>
      <w:lvlText w:val="%1."/>
      <w:lvlJc w:val="left"/>
      <w:pPr>
        <w:ind w:left="1128" w:hanging="360"/>
      </w:pPr>
      <w:rPr>
        <w:rFonts w:ascii="Times New Roman" w:eastAsia="Times New Roman" w:hAnsi="Times New Roman" w:cs="Times New Roman"/>
      </w:r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90859D2"/>
    <w:multiLevelType w:val="multilevel"/>
    <w:tmpl w:val="45506F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43168AD"/>
    <w:multiLevelType w:val="hybridMultilevel"/>
    <w:tmpl w:val="A542826A"/>
    <w:lvl w:ilvl="0" w:tplc="CFE88364"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8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50E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64481B"/>
    <w:multiLevelType w:val="multilevel"/>
    <w:tmpl w:val="09660C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4F0EE7"/>
    <w:multiLevelType w:val="multilevel"/>
    <w:tmpl w:val="A9B65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0"/>
  </w:num>
  <w:num w:numId="8">
    <w:abstractNumId w:val="14"/>
  </w:num>
  <w:num w:numId="9">
    <w:abstractNumId w:val="9"/>
  </w:num>
  <w:num w:numId="10">
    <w:abstractNumId w:val="13"/>
  </w:num>
  <w:num w:numId="11">
    <w:abstractNumId w:val="3"/>
  </w:num>
  <w:num w:numId="12">
    <w:abstractNumId w:val="16"/>
  </w:num>
  <w:num w:numId="13">
    <w:abstractNumId w:val="1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0A"/>
    <w:rsid w:val="000069D1"/>
    <w:rsid w:val="000272E9"/>
    <w:rsid w:val="0004349B"/>
    <w:rsid w:val="00045609"/>
    <w:rsid w:val="00054A4E"/>
    <w:rsid w:val="00055283"/>
    <w:rsid w:val="00076DDE"/>
    <w:rsid w:val="000819CC"/>
    <w:rsid w:val="00083254"/>
    <w:rsid w:val="00085DB8"/>
    <w:rsid w:val="000929A7"/>
    <w:rsid w:val="000955DA"/>
    <w:rsid w:val="000A4839"/>
    <w:rsid w:val="000A7720"/>
    <w:rsid w:val="000C1245"/>
    <w:rsid w:val="000C3D27"/>
    <w:rsid w:val="000F2BBF"/>
    <w:rsid w:val="00102691"/>
    <w:rsid w:val="00103AB9"/>
    <w:rsid w:val="00113C02"/>
    <w:rsid w:val="00123BD1"/>
    <w:rsid w:val="00132370"/>
    <w:rsid w:val="00142382"/>
    <w:rsid w:val="00151AF2"/>
    <w:rsid w:val="001775CE"/>
    <w:rsid w:val="001856E5"/>
    <w:rsid w:val="00194D40"/>
    <w:rsid w:val="00196E93"/>
    <w:rsid w:val="001B3E32"/>
    <w:rsid w:val="001D6367"/>
    <w:rsid w:val="0020420F"/>
    <w:rsid w:val="00215720"/>
    <w:rsid w:val="00234AC3"/>
    <w:rsid w:val="002410D0"/>
    <w:rsid w:val="00242C33"/>
    <w:rsid w:val="00257CDB"/>
    <w:rsid w:val="002651B1"/>
    <w:rsid w:val="00271A80"/>
    <w:rsid w:val="00284DE5"/>
    <w:rsid w:val="00285BF9"/>
    <w:rsid w:val="002B6E90"/>
    <w:rsid w:val="002E2C3E"/>
    <w:rsid w:val="002F41A9"/>
    <w:rsid w:val="002F5B0B"/>
    <w:rsid w:val="00305E67"/>
    <w:rsid w:val="0030792F"/>
    <w:rsid w:val="003116CD"/>
    <w:rsid w:val="00317C34"/>
    <w:rsid w:val="00347CFA"/>
    <w:rsid w:val="00352F3A"/>
    <w:rsid w:val="00356B08"/>
    <w:rsid w:val="003618FC"/>
    <w:rsid w:val="003A340C"/>
    <w:rsid w:val="003A345E"/>
    <w:rsid w:val="003E093A"/>
    <w:rsid w:val="003F72C3"/>
    <w:rsid w:val="00401FDC"/>
    <w:rsid w:val="00432852"/>
    <w:rsid w:val="00452919"/>
    <w:rsid w:val="0046229A"/>
    <w:rsid w:val="00462939"/>
    <w:rsid w:val="004A3143"/>
    <w:rsid w:val="004B07BF"/>
    <w:rsid w:val="004B5BF8"/>
    <w:rsid w:val="004C16A2"/>
    <w:rsid w:val="004E307A"/>
    <w:rsid w:val="004E6795"/>
    <w:rsid w:val="004F504A"/>
    <w:rsid w:val="004F68C6"/>
    <w:rsid w:val="005048AE"/>
    <w:rsid w:val="00514D63"/>
    <w:rsid w:val="005234E8"/>
    <w:rsid w:val="00526168"/>
    <w:rsid w:val="00527E7D"/>
    <w:rsid w:val="00537B37"/>
    <w:rsid w:val="00540B16"/>
    <w:rsid w:val="005533B9"/>
    <w:rsid w:val="005664A8"/>
    <w:rsid w:val="00571C74"/>
    <w:rsid w:val="00574C21"/>
    <w:rsid w:val="00597217"/>
    <w:rsid w:val="005A053C"/>
    <w:rsid w:val="005A37FC"/>
    <w:rsid w:val="005A3C84"/>
    <w:rsid w:val="005A46A5"/>
    <w:rsid w:val="005D1331"/>
    <w:rsid w:val="005E7EDA"/>
    <w:rsid w:val="00625704"/>
    <w:rsid w:val="00657166"/>
    <w:rsid w:val="0066191E"/>
    <w:rsid w:val="00675E65"/>
    <w:rsid w:val="006769EC"/>
    <w:rsid w:val="006A10D7"/>
    <w:rsid w:val="006B15FC"/>
    <w:rsid w:val="006B6B2F"/>
    <w:rsid w:val="006E1A5C"/>
    <w:rsid w:val="006E699A"/>
    <w:rsid w:val="006F2D7A"/>
    <w:rsid w:val="006F7EF9"/>
    <w:rsid w:val="007218DD"/>
    <w:rsid w:val="0073764E"/>
    <w:rsid w:val="00750C5A"/>
    <w:rsid w:val="0075216A"/>
    <w:rsid w:val="007539D5"/>
    <w:rsid w:val="00754C6B"/>
    <w:rsid w:val="00755A5B"/>
    <w:rsid w:val="007805B0"/>
    <w:rsid w:val="00792D24"/>
    <w:rsid w:val="007A7576"/>
    <w:rsid w:val="007B3C1F"/>
    <w:rsid w:val="007B4234"/>
    <w:rsid w:val="007D000B"/>
    <w:rsid w:val="007D798D"/>
    <w:rsid w:val="007F0C28"/>
    <w:rsid w:val="00805C14"/>
    <w:rsid w:val="0080662D"/>
    <w:rsid w:val="00820DC0"/>
    <w:rsid w:val="00826CD2"/>
    <w:rsid w:val="00836E87"/>
    <w:rsid w:val="00840E05"/>
    <w:rsid w:val="0085296B"/>
    <w:rsid w:val="008536B2"/>
    <w:rsid w:val="00854DA9"/>
    <w:rsid w:val="008570E8"/>
    <w:rsid w:val="00887FA6"/>
    <w:rsid w:val="00891663"/>
    <w:rsid w:val="008A2B8F"/>
    <w:rsid w:val="008A4754"/>
    <w:rsid w:val="008B547F"/>
    <w:rsid w:val="008C31FA"/>
    <w:rsid w:val="008C6DF9"/>
    <w:rsid w:val="008D2A15"/>
    <w:rsid w:val="008D7206"/>
    <w:rsid w:val="008D7692"/>
    <w:rsid w:val="008E0E73"/>
    <w:rsid w:val="008E7377"/>
    <w:rsid w:val="008F6C2C"/>
    <w:rsid w:val="00901969"/>
    <w:rsid w:val="0090357D"/>
    <w:rsid w:val="00905A7E"/>
    <w:rsid w:val="009142F6"/>
    <w:rsid w:val="0092460F"/>
    <w:rsid w:val="00942725"/>
    <w:rsid w:val="009429C4"/>
    <w:rsid w:val="009477AE"/>
    <w:rsid w:val="00952171"/>
    <w:rsid w:val="00955CD0"/>
    <w:rsid w:val="00962130"/>
    <w:rsid w:val="00971A30"/>
    <w:rsid w:val="00972777"/>
    <w:rsid w:val="00980E7D"/>
    <w:rsid w:val="009954C2"/>
    <w:rsid w:val="009A4E47"/>
    <w:rsid w:val="009C038B"/>
    <w:rsid w:val="009F0605"/>
    <w:rsid w:val="009F28B3"/>
    <w:rsid w:val="00A059BC"/>
    <w:rsid w:val="00A17626"/>
    <w:rsid w:val="00A216F7"/>
    <w:rsid w:val="00A2407D"/>
    <w:rsid w:val="00A3245D"/>
    <w:rsid w:val="00A3600A"/>
    <w:rsid w:val="00A3717D"/>
    <w:rsid w:val="00A436F3"/>
    <w:rsid w:val="00A515C4"/>
    <w:rsid w:val="00A55DB7"/>
    <w:rsid w:val="00A73814"/>
    <w:rsid w:val="00A765FF"/>
    <w:rsid w:val="00A920AD"/>
    <w:rsid w:val="00A94E08"/>
    <w:rsid w:val="00AA0315"/>
    <w:rsid w:val="00AB506F"/>
    <w:rsid w:val="00AE26A9"/>
    <w:rsid w:val="00AE524E"/>
    <w:rsid w:val="00AF2354"/>
    <w:rsid w:val="00AF2873"/>
    <w:rsid w:val="00AF4422"/>
    <w:rsid w:val="00B15435"/>
    <w:rsid w:val="00B41927"/>
    <w:rsid w:val="00B66760"/>
    <w:rsid w:val="00B66CB6"/>
    <w:rsid w:val="00B76026"/>
    <w:rsid w:val="00B81EE5"/>
    <w:rsid w:val="00B9401B"/>
    <w:rsid w:val="00BA3B61"/>
    <w:rsid w:val="00BA7B33"/>
    <w:rsid w:val="00BA7CDA"/>
    <w:rsid w:val="00BB7529"/>
    <w:rsid w:val="00BD52FD"/>
    <w:rsid w:val="00BF3C7B"/>
    <w:rsid w:val="00C16BBD"/>
    <w:rsid w:val="00C23546"/>
    <w:rsid w:val="00C31E39"/>
    <w:rsid w:val="00C32DCE"/>
    <w:rsid w:val="00C34FAF"/>
    <w:rsid w:val="00C460F3"/>
    <w:rsid w:val="00C508DF"/>
    <w:rsid w:val="00C60A2B"/>
    <w:rsid w:val="00C96B21"/>
    <w:rsid w:val="00CC5107"/>
    <w:rsid w:val="00CD04EE"/>
    <w:rsid w:val="00CE0FAD"/>
    <w:rsid w:val="00CF7291"/>
    <w:rsid w:val="00D04D86"/>
    <w:rsid w:val="00D07E85"/>
    <w:rsid w:val="00D353CC"/>
    <w:rsid w:val="00D35959"/>
    <w:rsid w:val="00D36153"/>
    <w:rsid w:val="00D73661"/>
    <w:rsid w:val="00D75DED"/>
    <w:rsid w:val="00D838B3"/>
    <w:rsid w:val="00D87D2A"/>
    <w:rsid w:val="00D94397"/>
    <w:rsid w:val="00DA3A14"/>
    <w:rsid w:val="00DC08CA"/>
    <w:rsid w:val="00DD62D7"/>
    <w:rsid w:val="00DE1E22"/>
    <w:rsid w:val="00E00C6F"/>
    <w:rsid w:val="00E02CCE"/>
    <w:rsid w:val="00E11C94"/>
    <w:rsid w:val="00E11D99"/>
    <w:rsid w:val="00E20905"/>
    <w:rsid w:val="00E253E6"/>
    <w:rsid w:val="00E53653"/>
    <w:rsid w:val="00E63AAB"/>
    <w:rsid w:val="00E6644E"/>
    <w:rsid w:val="00E91920"/>
    <w:rsid w:val="00E95310"/>
    <w:rsid w:val="00E978D7"/>
    <w:rsid w:val="00EA4EA9"/>
    <w:rsid w:val="00EA58D8"/>
    <w:rsid w:val="00EA6634"/>
    <w:rsid w:val="00EB439C"/>
    <w:rsid w:val="00ED1EF0"/>
    <w:rsid w:val="00EE7140"/>
    <w:rsid w:val="00F1782A"/>
    <w:rsid w:val="00F47120"/>
    <w:rsid w:val="00F510A6"/>
    <w:rsid w:val="00F553B0"/>
    <w:rsid w:val="00F62802"/>
    <w:rsid w:val="00F65134"/>
    <w:rsid w:val="00F65808"/>
    <w:rsid w:val="00F7332F"/>
    <w:rsid w:val="00F868F8"/>
    <w:rsid w:val="00F86981"/>
    <w:rsid w:val="00F95373"/>
    <w:rsid w:val="00FA07B2"/>
    <w:rsid w:val="00FC33F0"/>
    <w:rsid w:val="00FC471B"/>
    <w:rsid w:val="00FD090F"/>
    <w:rsid w:val="00FD4E58"/>
    <w:rsid w:val="00FD73CA"/>
    <w:rsid w:val="00FE26BF"/>
    <w:rsid w:val="00FF44D4"/>
    <w:rsid w:val="00FF50C0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FA07B2"/>
  </w:style>
  <w:style w:type="character" w:styleId="Hiperveza">
    <w:name w:val="Hyperlink"/>
    <w:basedOn w:val="Zadanifontodlomka"/>
    <w:uiPriority w:val="99"/>
    <w:semiHidden/>
    <w:unhideWhenUsed/>
    <w:rsid w:val="00FA07B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A07B2"/>
    <w:rPr>
      <w:color w:val="954F72"/>
      <w:u w:val="single"/>
    </w:rPr>
  </w:style>
  <w:style w:type="paragraph" w:customStyle="1" w:styleId="xl65">
    <w:name w:val="xl65"/>
    <w:basedOn w:val="Normal"/>
    <w:rsid w:val="00FA07B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FA07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A07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FA07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3">
    <w:name w:val="xl63"/>
    <w:basedOn w:val="Normal"/>
    <w:rsid w:val="002F5B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2F5B0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ParagraphStyle1">
    <w:name w:val="ParagraphStyle1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D75DED"/>
    <w:pPr>
      <w:spacing w:before="28" w:after="28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D75DED"/>
    <w:pPr>
      <w:spacing w:before="28" w:after="28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5">
    <w:name w:val="ParagraphStyle15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">
    <w:name w:val="CharacterStyle1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7">
    <w:name w:val="ParagraphStyle17"/>
    <w:hidden/>
    <w:rsid w:val="0066191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8">
    <w:name w:val="ParagraphStyle18"/>
    <w:hidden/>
    <w:rsid w:val="0066191E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9">
    <w:name w:val="ParagraphStyle19"/>
    <w:hidden/>
    <w:rsid w:val="0066191E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0">
    <w:name w:val="ParagraphStyle20"/>
    <w:hidden/>
    <w:rsid w:val="0066191E"/>
    <w:pPr>
      <w:spacing w:after="0" w:line="240" w:lineRule="auto"/>
      <w:ind w:left="28" w:right="28"/>
      <w:jc w:val="both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7">
    <w:name w:val="CharacterStyle17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FakeCharacterStyle">
    <w:name w:val="FakeCharacterStyle"/>
    <w:hidden/>
    <w:rsid w:val="0066191E"/>
    <w:rPr>
      <w:sz w:val="1"/>
      <w:szCs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FA07B2"/>
  </w:style>
  <w:style w:type="character" w:styleId="Hiperveza">
    <w:name w:val="Hyperlink"/>
    <w:basedOn w:val="Zadanifontodlomka"/>
    <w:uiPriority w:val="99"/>
    <w:semiHidden/>
    <w:unhideWhenUsed/>
    <w:rsid w:val="00FA07B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A07B2"/>
    <w:rPr>
      <w:color w:val="954F72"/>
      <w:u w:val="single"/>
    </w:rPr>
  </w:style>
  <w:style w:type="paragraph" w:customStyle="1" w:styleId="xl65">
    <w:name w:val="xl65"/>
    <w:basedOn w:val="Normal"/>
    <w:rsid w:val="00FA07B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FA07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FA07B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A07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A07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FA07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3">
    <w:name w:val="xl63"/>
    <w:basedOn w:val="Normal"/>
    <w:rsid w:val="002F5B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2F5B0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ParagraphStyle1">
    <w:name w:val="ParagraphStyle1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D75DED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D75DED"/>
    <w:pPr>
      <w:spacing w:before="28" w:after="28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D75DED"/>
    <w:pPr>
      <w:spacing w:before="28" w:after="28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D75DE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5">
    <w:name w:val="ParagraphStyle15"/>
    <w:hidden/>
    <w:rsid w:val="00D75DED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hidden/>
    <w:rsid w:val="00D75DE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">
    <w:name w:val="CharacterStyle1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D75DE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D75DED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D75DE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7">
    <w:name w:val="ParagraphStyle17"/>
    <w:hidden/>
    <w:rsid w:val="0066191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8">
    <w:name w:val="ParagraphStyle18"/>
    <w:hidden/>
    <w:rsid w:val="0066191E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9">
    <w:name w:val="ParagraphStyle19"/>
    <w:hidden/>
    <w:rsid w:val="0066191E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0">
    <w:name w:val="ParagraphStyle20"/>
    <w:hidden/>
    <w:rsid w:val="0066191E"/>
    <w:pPr>
      <w:spacing w:after="0" w:line="240" w:lineRule="auto"/>
      <w:ind w:left="28" w:right="28"/>
      <w:jc w:val="both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7">
    <w:name w:val="CharacterStyle17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66191E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FakeCharacterStyle">
    <w:name w:val="FakeCharacterStyle"/>
    <w:hidden/>
    <w:rsid w:val="0066191E"/>
    <w:rPr>
      <w:sz w:val="1"/>
      <w:sz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E0C9-A294-4AAF-920C-EF6A4A69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18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cp:lastPrinted>2025-03-20T12:00:00Z</cp:lastPrinted>
  <dcterms:created xsi:type="dcterms:W3CDTF">2025-03-20T09:20:00Z</dcterms:created>
  <dcterms:modified xsi:type="dcterms:W3CDTF">2026-03-30T08:01:00Z</dcterms:modified>
</cp:coreProperties>
</file>